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4"/>
        </w:rPr>
      </w:pPr>
    </w:p>
    <w:p>
      <w:pPr>
        <w:pStyle w:val="Title"/>
      </w:pPr>
      <w:r>
        <w:rPr>
          <w:color w:val="0F3150"/>
        </w:rPr>
        <w:t>LE CRITICITÀ E LE SFIDE DEL WELFARE ITALIANO NEL</w:t>
      </w:r>
      <w:r>
        <w:rPr>
          <w:color w:val="0F3150"/>
          <w:spacing w:val="1"/>
        </w:rPr>
        <w:t> </w:t>
      </w:r>
      <w:r>
        <w:rPr>
          <w:color w:val="0F3150"/>
        </w:rPr>
        <w:t>RAPPORTO </w:t>
      </w:r>
      <w:r>
        <w:rPr>
          <w:color w:val="16365D"/>
        </w:rPr>
        <w:t>2022 DEL THINK TANK “WELFARE, ITALIA”</w:t>
      </w:r>
      <w:r>
        <w:rPr>
          <w:color w:val="16365D"/>
          <w:spacing w:val="-79"/>
        </w:rPr>
        <w:t> </w:t>
      </w:r>
      <w:r>
        <w:rPr>
          <w:color w:val="16365D"/>
        </w:rPr>
        <w:t>PRESENTATO</w:t>
      </w:r>
      <w:r>
        <w:rPr>
          <w:color w:val="16365D"/>
          <w:spacing w:val="-2"/>
        </w:rPr>
        <w:t> </w:t>
      </w:r>
      <w:r>
        <w:rPr>
          <w:color w:val="16365D"/>
        </w:rPr>
        <w:t>OGGI</w:t>
      </w:r>
    </w:p>
    <w:p>
      <w:pPr>
        <w:pStyle w:val="BodyText"/>
        <w:spacing w:before="1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546" w:val="left" w:leader="none"/>
        </w:tabs>
        <w:spacing w:line="240" w:lineRule="auto" w:before="0" w:after="0"/>
        <w:ind w:left="546" w:right="113" w:hanging="428"/>
        <w:jc w:val="both"/>
        <w:rPr>
          <w:sz w:val="32"/>
        </w:rPr>
      </w:pPr>
      <w:r>
        <w:rPr>
          <w:color w:val="0F3150"/>
          <w:sz w:val="32"/>
        </w:rPr>
        <w:t>Cresce la spesa in welfare prevista nel 2022 (615 miliardi €, +18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miliardi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rispetto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al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2021)</w:t>
      </w:r>
    </w:p>
    <w:p>
      <w:pPr>
        <w:pStyle w:val="ListParagraph"/>
        <w:numPr>
          <w:ilvl w:val="0"/>
          <w:numId w:val="1"/>
        </w:numPr>
        <w:tabs>
          <w:tab w:pos="547" w:val="left" w:leader="none"/>
        </w:tabs>
        <w:spacing w:line="240" w:lineRule="auto" w:before="1" w:after="0"/>
        <w:ind w:left="546" w:right="114" w:hanging="428"/>
        <w:jc w:val="both"/>
        <w:rPr>
          <w:sz w:val="32"/>
        </w:rPr>
      </w:pPr>
      <w:r>
        <w:rPr>
          <w:color w:val="0F3150"/>
          <w:sz w:val="32"/>
        </w:rPr>
        <w:t>A causa dell’impatto dell’inflazione il numero delle famiglie che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rischiano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di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trovarsi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in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povertà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assoluta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aumenta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di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300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mila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unità</w:t>
      </w:r>
    </w:p>
    <w:p>
      <w:pPr>
        <w:pStyle w:val="ListParagraph"/>
        <w:numPr>
          <w:ilvl w:val="0"/>
          <w:numId w:val="1"/>
        </w:numPr>
        <w:tabs>
          <w:tab w:pos="547" w:val="left" w:leader="none"/>
        </w:tabs>
        <w:spacing w:line="240" w:lineRule="auto" w:before="0" w:after="0"/>
        <w:ind w:left="546" w:right="113" w:hanging="428"/>
        <w:jc w:val="both"/>
        <w:rPr>
          <w:sz w:val="32"/>
        </w:rPr>
      </w:pPr>
      <w:r>
        <w:rPr>
          <w:color w:val="0F3150"/>
          <w:sz w:val="32"/>
        </w:rPr>
        <w:t>Prosegue il calo della natalità, nel 2035 in Italia ci saranno 2,5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milioni di persone in meno rispetto al 2020 (pari a 4,4 milioni di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persone in età lavorativa), che dovranno sostenere 3,6 milioni di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over-65 in più</w:t>
      </w:r>
    </w:p>
    <w:p>
      <w:pPr>
        <w:pStyle w:val="ListParagraph"/>
        <w:numPr>
          <w:ilvl w:val="0"/>
          <w:numId w:val="1"/>
        </w:numPr>
        <w:tabs>
          <w:tab w:pos="547" w:val="left" w:leader="none"/>
        </w:tabs>
        <w:spacing w:line="240" w:lineRule="auto" w:before="1" w:after="0"/>
        <w:ind w:left="546" w:right="114" w:hanging="428"/>
        <w:jc w:val="both"/>
        <w:rPr>
          <w:sz w:val="32"/>
        </w:rPr>
      </w:pPr>
      <w:r>
        <w:rPr>
          <w:color w:val="0F3150"/>
          <w:sz w:val="32"/>
        </w:rPr>
        <w:t>Nel 2050, lo scenario peggiore prevede un calo della popolazione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di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10,5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milioni nel</w:t>
      </w:r>
      <w:r>
        <w:rPr>
          <w:color w:val="0F3150"/>
          <w:spacing w:val="3"/>
          <w:sz w:val="32"/>
        </w:rPr>
        <w:t> </w:t>
      </w:r>
      <w:r>
        <w:rPr>
          <w:color w:val="0F3150"/>
          <w:sz w:val="32"/>
        </w:rPr>
        <w:t>nostro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Paese</w:t>
      </w:r>
    </w:p>
    <w:p>
      <w:pPr>
        <w:pStyle w:val="ListParagraph"/>
        <w:numPr>
          <w:ilvl w:val="0"/>
          <w:numId w:val="1"/>
        </w:numPr>
        <w:tabs>
          <w:tab w:pos="547" w:val="left" w:leader="none"/>
        </w:tabs>
        <w:spacing w:line="240" w:lineRule="auto" w:before="0" w:after="0"/>
        <w:ind w:left="546" w:right="114" w:hanging="428"/>
        <w:jc w:val="both"/>
        <w:rPr>
          <w:sz w:val="32"/>
        </w:rPr>
      </w:pPr>
      <w:r>
        <w:rPr>
          <w:color w:val="0F3150"/>
          <w:sz w:val="32"/>
        </w:rPr>
        <w:t>Nel 2055 l'Italia perderà 147 miliardi di euro se i “cervelli in fuga”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nel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2020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non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tornassero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in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"patria"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durante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la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loro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vita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lavorativa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  <w:tab w:pos="546" w:val="left" w:leader="none"/>
        </w:tabs>
        <w:spacing w:line="240" w:lineRule="auto" w:before="0" w:after="0"/>
        <w:ind w:left="545" w:right="0" w:hanging="428"/>
        <w:jc w:val="left"/>
        <w:rPr>
          <w:sz w:val="32"/>
        </w:rPr>
      </w:pPr>
      <w:r>
        <w:rPr>
          <w:color w:val="0F3150"/>
          <w:sz w:val="32"/>
        </w:rPr>
        <w:t>Il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Think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Tank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traccia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le</w:t>
      </w:r>
      <w:r>
        <w:rPr>
          <w:color w:val="0F3150"/>
          <w:spacing w:val="-2"/>
          <w:sz w:val="32"/>
        </w:rPr>
        <w:t> </w:t>
      </w:r>
      <w:r>
        <w:rPr>
          <w:color w:val="0F3150"/>
          <w:sz w:val="32"/>
        </w:rPr>
        <w:t>6</w:t>
      </w:r>
      <w:r>
        <w:rPr>
          <w:color w:val="0F3150"/>
          <w:spacing w:val="-3"/>
          <w:sz w:val="32"/>
        </w:rPr>
        <w:t> </w:t>
      </w:r>
      <w:r>
        <w:rPr>
          <w:color w:val="0F3150"/>
          <w:sz w:val="32"/>
        </w:rPr>
        <w:t>priorità di</w:t>
      </w:r>
      <w:r>
        <w:rPr>
          <w:color w:val="0F3150"/>
          <w:spacing w:val="-1"/>
          <w:sz w:val="32"/>
        </w:rPr>
        <w:t> </w:t>
      </w:r>
      <w:r>
        <w:rPr>
          <w:color w:val="0F3150"/>
          <w:sz w:val="32"/>
        </w:rPr>
        <w:t>azione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0" w:after="0"/>
        <w:ind w:left="826" w:right="0" w:hanging="349"/>
        <w:jc w:val="left"/>
        <w:rPr>
          <w:sz w:val="24"/>
        </w:rPr>
      </w:pPr>
      <w:r>
        <w:rPr>
          <w:color w:val="16365D"/>
          <w:sz w:val="24"/>
        </w:rPr>
        <w:t>Integrare</w:t>
      </w:r>
      <w:r>
        <w:rPr>
          <w:color w:val="16365D"/>
          <w:spacing w:val="-1"/>
          <w:sz w:val="24"/>
        </w:rPr>
        <w:t> </w:t>
      </w:r>
      <w:r>
        <w:rPr>
          <w:color w:val="16365D"/>
          <w:sz w:val="24"/>
        </w:rPr>
        <w:t>il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tema</w:t>
      </w:r>
      <w:r>
        <w:rPr>
          <w:color w:val="16365D"/>
          <w:spacing w:val="-4"/>
          <w:sz w:val="24"/>
        </w:rPr>
        <w:t> </w:t>
      </w:r>
      <w:r>
        <w:rPr>
          <w:color w:val="16365D"/>
          <w:sz w:val="24"/>
        </w:rPr>
        <w:t>della</w:t>
      </w:r>
      <w:r>
        <w:rPr>
          <w:color w:val="16365D"/>
          <w:spacing w:val="-1"/>
          <w:sz w:val="24"/>
        </w:rPr>
        <w:t> </w:t>
      </w:r>
      <w:r>
        <w:rPr>
          <w:color w:val="16365D"/>
          <w:sz w:val="24"/>
        </w:rPr>
        <w:t>natalità</w:t>
      </w:r>
      <w:r>
        <w:rPr>
          <w:color w:val="16365D"/>
          <w:spacing w:val="-4"/>
          <w:sz w:val="24"/>
        </w:rPr>
        <w:t> </w:t>
      </w:r>
      <w:r>
        <w:rPr>
          <w:color w:val="16365D"/>
          <w:sz w:val="24"/>
        </w:rPr>
        <w:t>all’interno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della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tassonomia</w:t>
      </w:r>
      <w:r>
        <w:rPr>
          <w:color w:val="16365D"/>
          <w:spacing w:val="-4"/>
          <w:sz w:val="24"/>
        </w:rPr>
        <w:t> </w:t>
      </w:r>
      <w:r>
        <w:rPr>
          <w:color w:val="16365D"/>
          <w:sz w:val="24"/>
        </w:rPr>
        <w:t>sociale europea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0" w:after="0"/>
        <w:ind w:left="838" w:right="116" w:hanging="360"/>
        <w:jc w:val="left"/>
        <w:rPr>
          <w:sz w:val="24"/>
        </w:rPr>
      </w:pPr>
      <w:r>
        <w:rPr>
          <w:color w:val="16365D"/>
          <w:sz w:val="24"/>
        </w:rPr>
        <w:t>Promuovere</w:t>
      </w:r>
      <w:r>
        <w:rPr>
          <w:color w:val="16365D"/>
          <w:spacing w:val="20"/>
          <w:sz w:val="24"/>
        </w:rPr>
        <w:t> </w:t>
      </w:r>
      <w:r>
        <w:rPr>
          <w:color w:val="16365D"/>
          <w:sz w:val="24"/>
        </w:rPr>
        <w:t>misure</w:t>
      </w:r>
      <w:r>
        <w:rPr>
          <w:color w:val="16365D"/>
          <w:spacing w:val="17"/>
          <w:sz w:val="24"/>
        </w:rPr>
        <w:t> </w:t>
      </w:r>
      <w:r>
        <w:rPr>
          <w:color w:val="16365D"/>
          <w:sz w:val="24"/>
        </w:rPr>
        <w:t>finalizzate</w:t>
      </w:r>
      <w:r>
        <w:rPr>
          <w:color w:val="16365D"/>
          <w:spacing w:val="20"/>
          <w:sz w:val="24"/>
        </w:rPr>
        <w:t> </w:t>
      </w:r>
      <w:r>
        <w:rPr>
          <w:color w:val="16365D"/>
          <w:sz w:val="24"/>
        </w:rPr>
        <w:t>a</w:t>
      </w:r>
      <w:r>
        <w:rPr>
          <w:color w:val="16365D"/>
          <w:spacing w:val="20"/>
          <w:sz w:val="24"/>
        </w:rPr>
        <w:t> </w:t>
      </w:r>
      <w:r>
        <w:rPr>
          <w:color w:val="16365D"/>
          <w:sz w:val="24"/>
        </w:rPr>
        <w:t>sostenere</w:t>
      </w:r>
      <w:r>
        <w:rPr>
          <w:color w:val="16365D"/>
          <w:spacing w:val="20"/>
          <w:sz w:val="24"/>
        </w:rPr>
        <w:t> </w:t>
      </w:r>
      <w:r>
        <w:rPr>
          <w:color w:val="16365D"/>
          <w:sz w:val="24"/>
        </w:rPr>
        <w:t>la</w:t>
      </w:r>
      <w:r>
        <w:rPr>
          <w:color w:val="16365D"/>
          <w:spacing w:val="22"/>
          <w:sz w:val="24"/>
        </w:rPr>
        <w:t> </w:t>
      </w:r>
      <w:r>
        <w:rPr>
          <w:color w:val="16365D"/>
          <w:sz w:val="24"/>
        </w:rPr>
        <w:t>genitorialità</w:t>
      </w:r>
      <w:r>
        <w:rPr>
          <w:color w:val="16365D"/>
          <w:spacing w:val="20"/>
          <w:sz w:val="24"/>
        </w:rPr>
        <w:t> </w:t>
      </w:r>
      <w:r>
        <w:rPr>
          <w:color w:val="16365D"/>
          <w:sz w:val="24"/>
        </w:rPr>
        <w:t>e</w:t>
      </w:r>
      <w:r>
        <w:rPr>
          <w:color w:val="16365D"/>
          <w:spacing w:val="23"/>
          <w:sz w:val="24"/>
        </w:rPr>
        <w:t> </w:t>
      </w:r>
      <w:r>
        <w:rPr>
          <w:color w:val="16365D"/>
          <w:sz w:val="24"/>
        </w:rPr>
        <w:t>ad</w:t>
      </w:r>
      <w:r>
        <w:rPr>
          <w:color w:val="16365D"/>
          <w:spacing w:val="21"/>
          <w:sz w:val="24"/>
        </w:rPr>
        <w:t> </w:t>
      </w:r>
      <w:r>
        <w:rPr>
          <w:color w:val="16365D"/>
          <w:sz w:val="24"/>
        </w:rPr>
        <w:t>accrescere</w:t>
      </w:r>
      <w:r>
        <w:rPr>
          <w:color w:val="16365D"/>
          <w:spacing w:val="-52"/>
          <w:sz w:val="24"/>
        </w:rPr>
        <w:t> </w:t>
      </w:r>
      <w:r>
        <w:rPr>
          <w:color w:val="16365D"/>
          <w:sz w:val="24"/>
        </w:rPr>
        <w:t>l’occupazione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femminile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0" w:after="0"/>
        <w:ind w:left="838" w:right="115" w:hanging="360"/>
        <w:jc w:val="left"/>
        <w:rPr>
          <w:sz w:val="24"/>
        </w:rPr>
      </w:pPr>
      <w:r>
        <w:rPr>
          <w:color w:val="16365D"/>
          <w:sz w:val="24"/>
        </w:rPr>
        <w:t>Mitigare i flussi migratori in uscita e rendere più efficiente il mercato del lavoro anche</w:t>
      </w:r>
      <w:r>
        <w:rPr>
          <w:color w:val="16365D"/>
          <w:spacing w:val="-52"/>
          <w:sz w:val="24"/>
        </w:rPr>
        <w:t> </w:t>
      </w:r>
      <w:r>
        <w:rPr>
          <w:color w:val="16365D"/>
          <w:sz w:val="24"/>
        </w:rPr>
        <w:t>per i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cittadini stranieri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2" w:after="0"/>
        <w:ind w:left="826" w:right="0" w:hanging="349"/>
        <w:jc w:val="left"/>
        <w:rPr>
          <w:sz w:val="24"/>
        </w:rPr>
      </w:pPr>
      <w:r>
        <w:rPr>
          <w:color w:val="16365D"/>
          <w:sz w:val="24"/>
        </w:rPr>
        <w:t>Valorizzare</w:t>
      </w:r>
      <w:r>
        <w:rPr>
          <w:color w:val="16365D"/>
          <w:spacing w:val="-4"/>
          <w:sz w:val="24"/>
        </w:rPr>
        <w:t> </w:t>
      </w:r>
      <w:r>
        <w:rPr>
          <w:color w:val="16365D"/>
          <w:sz w:val="24"/>
        </w:rPr>
        <w:t>il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contributo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della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componente</w:t>
      </w:r>
      <w:r>
        <w:rPr>
          <w:color w:val="16365D"/>
          <w:spacing w:val="-3"/>
          <w:sz w:val="24"/>
        </w:rPr>
        <w:t> </w:t>
      </w:r>
      <w:r>
        <w:rPr>
          <w:color w:val="16365D"/>
          <w:sz w:val="24"/>
        </w:rPr>
        <w:t>previdenziale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integrativa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0" w:after="0"/>
        <w:ind w:left="838" w:right="114" w:hanging="360"/>
        <w:jc w:val="left"/>
        <w:rPr>
          <w:sz w:val="24"/>
        </w:rPr>
      </w:pPr>
      <w:r>
        <w:rPr>
          <w:color w:val="16365D"/>
          <w:sz w:val="24"/>
        </w:rPr>
        <w:t>Favorire</w:t>
      </w:r>
      <w:r>
        <w:rPr>
          <w:color w:val="16365D"/>
          <w:spacing w:val="44"/>
          <w:sz w:val="24"/>
        </w:rPr>
        <w:t> </w:t>
      </w:r>
      <w:r>
        <w:rPr>
          <w:color w:val="16365D"/>
          <w:sz w:val="24"/>
        </w:rPr>
        <w:t>l’allargamento</w:t>
      </w:r>
      <w:r>
        <w:rPr>
          <w:color w:val="16365D"/>
          <w:spacing w:val="42"/>
          <w:sz w:val="24"/>
        </w:rPr>
        <w:t> </w:t>
      </w:r>
      <w:r>
        <w:rPr>
          <w:color w:val="16365D"/>
          <w:sz w:val="24"/>
        </w:rPr>
        <w:t>dell’offerta</w:t>
      </w:r>
      <w:r>
        <w:rPr>
          <w:color w:val="16365D"/>
          <w:spacing w:val="44"/>
          <w:sz w:val="24"/>
        </w:rPr>
        <w:t> </w:t>
      </w:r>
      <w:r>
        <w:rPr>
          <w:color w:val="16365D"/>
          <w:sz w:val="24"/>
        </w:rPr>
        <w:t>dei</w:t>
      </w:r>
      <w:r>
        <w:rPr>
          <w:color w:val="16365D"/>
          <w:spacing w:val="46"/>
          <w:sz w:val="24"/>
        </w:rPr>
        <w:t> </w:t>
      </w:r>
      <w:r>
        <w:rPr>
          <w:color w:val="16365D"/>
          <w:sz w:val="24"/>
        </w:rPr>
        <w:t>servizi</w:t>
      </w:r>
      <w:r>
        <w:rPr>
          <w:color w:val="16365D"/>
          <w:spacing w:val="44"/>
          <w:sz w:val="24"/>
        </w:rPr>
        <w:t> </w:t>
      </w:r>
      <w:r>
        <w:rPr>
          <w:color w:val="16365D"/>
          <w:sz w:val="24"/>
        </w:rPr>
        <w:t>di</w:t>
      </w:r>
      <w:r>
        <w:rPr>
          <w:color w:val="16365D"/>
          <w:spacing w:val="46"/>
          <w:sz w:val="24"/>
        </w:rPr>
        <w:t> </w:t>
      </w:r>
      <w:r>
        <w:rPr>
          <w:color w:val="16365D"/>
          <w:sz w:val="24"/>
        </w:rPr>
        <w:t>welfare</w:t>
      </w:r>
      <w:r>
        <w:rPr>
          <w:color w:val="16365D"/>
          <w:spacing w:val="44"/>
          <w:sz w:val="24"/>
        </w:rPr>
        <w:t> </w:t>
      </w:r>
      <w:r>
        <w:rPr>
          <w:color w:val="16365D"/>
          <w:sz w:val="24"/>
        </w:rPr>
        <w:t>attraverso</w:t>
      </w:r>
      <w:r>
        <w:rPr>
          <w:color w:val="16365D"/>
          <w:spacing w:val="45"/>
          <w:sz w:val="24"/>
        </w:rPr>
        <w:t> </w:t>
      </w:r>
      <w:r>
        <w:rPr>
          <w:color w:val="16365D"/>
          <w:sz w:val="24"/>
        </w:rPr>
        <w:t>le</w:t>
      </w:r>
      <w:r>
        <w:rPr>
          <w:color w:val="16365D"/>
          <w:spacing w:val="42"/>
          <w:sz w:val="24"/>
        </w:rPr>
        <w:t> </w:t>
      </w:r>
      <w:r>
        <w:rPr>
          <w:color w:val="16365D"/>
          <w:sz w:val="24"/>
        </w:rPr>
        <w:t>soluzioni</w:t>
      </w:r>
      <w:r>
        <w:rPr>
          <w:color w:val="16365D"/>
          <w:spacing w:val="44"/>
          <w:sz w:val="24"/>
        </w:rPr>
        <w:t> </w:t>
      </w:r>
      <w:r>
        <w:rPr>
          <w:color w:val="16365D"/>
          <w:sz w:val="24"/>
        </w:rPr>
        <w:t>di</w:t>
      </w:r>
      <w:r>
        <w:rPr>
          <w:color w:val="16365D"/>
          <w:spacing w:val="-51"/>
          <w:sz w:val="24"/>
        </w:rPr>
        <w:t> </w:t>
      </w:r>
      <w:r>
        <w:rPr>
          <w:color w:val="16365D"/>
          <w:sz w:val="24"/>
        </w:rPr>
        <w:t>welfare contrattuale</w:t>
      </w:r>
      <w:r>
        <w:rPr>
          <w:color w:val="16365D"/>
          <w:spacing w:val="-1"/>
          <w:sz w:val="24"/>
        </w:rPr>
        <w:t> </w:t>
      </w:r>
      <w:r>
        <w:rPr>
          <w:color w:val="16365D"/>
          <w:sz w:val="24"/>
        </w:rPr>
        <w:t>e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aziendale</w:t>
      </w:r>
    </w:p>
    <w:p>
      <w:pPr>
        <w:pStyle w:val="ListParagraph"/>
        <w:numPr>
          <w:ilvl w:val="1"/>
          <w:numId w:val="1"/>
        </w:numPr>
        <w:tabs>
          <w:tab w:pos="827" w:val="left" w:leader="none"/>
        </w:tabs>
        <w:spacing w:line="240" w:lineRule="auto" w:before="0" w:after="0"/>
        <w:ind w:left="838" w:right="115" w:hanging="360"/>
        <w:jc w:val="left"/>
        <w:rPr>
          <w:sz w:val="24"/>
        </w:rPr>
      </w:pPr>
      <w:r>
        <w:rPr>
          <w:color w:val="16365D"/>
          <w:sz w:val="24"/>
        </w:rPr>
        <w:t>Ridefinire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il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Reddito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di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Cittadinanza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come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strumento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di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inclusione</w:t>
      </w:r>
      <w:r>
        <w:rPr>
          <w:color w:val="16365D"/>
          <w:spacing w:val="1"/>
          <w:sz w:val="24"/>
        </w:rPr>
        <w:t> </w:t>
      </w:r>
      <w:r>
        <w:rPr>
          <w:color w:val="16365D"/>
          <w:sz w:val="24"/>
        </w:rPr>
        <w:t>sociale</w:t>
      </w:r>
      <w:r>
        <w:rPr>
          <w:color w:val="16365D"/>
          <w:spacing w:val="55"/>
          <w:sz w:val="24"/>
        </w:rPr>
        <w:t> </w:t>
      </w:r>
      <w:r>
        <w:rPr>
          <w:color w:val="16365D"/>
          <w:sz w:val="24"/>
        </w:rPr>
        <w:t>e</w:t>
      </w:r>
      <w:r>
        <w:rPr>
          <w:color w:val="16365D"/>
          <w:spacing w:val="-52"/>
          <w:sz w:val="24"/>
        </w:rPr>
        <w:t> </w:t>
      </w:r>
      <w:r>
        <w:rPr>
          <w:color w:val="16365D"/>
          <w:sz w:val="24"/>
        </w:rPr>
        <w:t>potenziare i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meccanismi</w:t>
      </w:r>
      <w:r>
        <w:rPr>
          <w:color w:val="16365D"/>
          <w:spacing w:val="-4"/>
          <w:sz w:val="24"/>
        </w:rPr>
        <w:t> </w:t>
      </w:r>
      <w:r>
        <w:rPr>
          <w:color w:val="16365D"/>
          <w:sz w:val="24"/>
        </w:rPr>
        <w:t>di attivazione</w:t>
      </w:r>
      <w:r>
        <w:rPr>
          <w:color w:val="16365D"/>
          <w:spacing w:val="-2"/>
          <w:sz w:val="24"/>
        </w:rPr>
        <w:t> </w:t>
      </w:r>
      <w:r>
        <w:rPr>
          <w:color w:val="16365D"/>
          <w:sz w:val="24"/>
        </w:rPr>
        <w:t>e</w:t>
      </w:r>
      <w:r>
        <w:rPr>
          <w:color w:val="16365D"/>
          <w:spacing w:val="-1"/>
          <w:sz w:val="24"/>
        </w:rPr>
        <w:t> </w:t>
      </w:r>
      <w:r>
        <w:rPr>
          <w:color w:val="16365D"/>
          <w:sz w:val="24"/>
        </w:rPr>
        <w:t>inserimento</w:t>
      </w:r>
      <w:r>
        <w:rPr>
          <w:color w:val="16365D"/>
          <w:spacing w:val="-1"/>
          <w:sz w:val="24"/>
        </w:rPr>
        <w:t> </w:t>
      </w:r>
      <w:r>
        <w:rPr>
          <w:color w:val="16365D"/>
          <w:sz w:val="24"/>
        </w:rPr>
        <w:t>lavorativo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546" w:val="left" w:leader="none"/>
        </w:tabs>
        <w:spacing w:line="240" w:lineRule="auto" w:before="0" w:after="0"/>
        <w:ind w:left="545" w:right="116" w:hanging="428"/>
        <w:jc w:val="both"/>
        <w:rPr>
          <w:sz w:val="32"/>
        </w:rPr>
      </w:pPr>
      <w:r>
        <w:rPr>
          <w:color w:val="0F3150"/>
          <w:sz w:val="32"/>
        </w:rPr>
        <w:t>Welfare Italia Index 2022: netta spaccatura tra Nord, Centro e Sud</w:t>
      </w:r>
      <w:r>
        <w:rPr>
          <w:color w:val="0F3150"/>
          <w:spacing w:val="-70"/>
          <w:sz w:val="32"/>
        </w:rPr>
        <w:t> </w:t>
      </w:r>
      <w:r>
        <w:rPr>
          <w:color w:val="0F3150"/>
          <w:sz w:val="32"/>
        </w:rPr>
        <w:t>nella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capacità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di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risposta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del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sistema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di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welfare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delle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Regioni</w:t>
      </w:r>
      <w:r>
        <w:rPr>
          <w:color w:val="0F3150"/>
          <w:spacing w:val="1"/>
          <w:sz w:val="32"/>
        </w:rPr>
        <w:t> </w:t>
      </w:r>
      <w:r>
        <w:rPr>
          <w:color w:val="0F3150"/>
          <w:sz w:val="32"/>
        </w:rPr>
        <w:t>italiane</w:t>
      </w:r>
    </w:p>
    <w:p>
      <w:pPr>
        <w:spacing w:after="0" w:line="240" w:lineRule="auto"/>
        <w:jc w:val="both"/>
        <w:rPr>
          <w:sz w:val="32"/>
        </w:rPr>
        <w:sectPr>
          <w:headerReference w:type="default" r:id="rId5"/>
          <w:type w:val="continuous"/>
          <w:pgSz w:w="11910" w:h="16840"/>
          <w:pgMar w:header="949" w:top="1760" w:bottom="280" w:left="1300" w:right="130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57"/>
        <w:ind w:left="118"/>
        <w:jc w:val="both"/>
      </w:pPr>
      <w:r>
        <w:rPr>
          <w:color w:val="16365D"/>
        </w:rPr>
        <w:t>Roma,</w:t>
      </w:r>
      <w:r>
        <w:rPr>
          <w:color w:val="16365D"/>
          <w:spacing w:val="-3"/>
        </w:rPr>
        <w:t> </w:t>
      </w:r>
      <w:r>
        <w:rPr>
          <w:color w:val="16365D"/>
        </w:rPr>
        <w:t>22 novembre</w:t>
      </w:r>
      <w:r>
        <w:rPr>
          <w:color w:val="16365D"/>
          <w:spacing w:val="-3"/>
        </w:rPr>
        <w:t> </w:t>
      </w:r>
      <w:r>
        <w:rPr>
          <w:color w:val="16365D"/>
        </w:rPr>
        <w:t>2022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ind w:left="117" w:right="114"/>
        <w:jc w:val="both"/>
      </w:pPr>
      <w:r>
        <w:rPr>
          <w:color w:val="404040"/>
        </w:rPr>
        <w:t>Si è tenuta oggi a Roma presso lo Spazio Field di Palazzo Brancaccio la presentazione dell’edizione</w:t>
      </w:r>
      <w:r>
        <w:rPr>
          <w:color w:val="404040"/>
          <w:spacing w:val="1"/>
        </w:rPr>
        <w:t> </w:t>
      </w:r>
      <w:r>
        <w:rPr>
          <w:color w:val="404040"/>
        </w:rPr>
        <w:t>2022</w:t>
      </w:r>
      <w:r>
        <w:rPr>
          <w:color w:val="404040"/>
          <w:spacing w:val="1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color w:val="404040"/>
        </w:rPr>
        <w:t>Rapporto</w:t>
      </w:r>
      <w:r>
        <w:rPr>
          <w:color w:val="404040"/>
          <w:spacing w:val="1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color w:val="404040"/>
        </w:rPr>
        <w:t>Think</w:t>
      </w:r>
      <w:r>
        <w:rPr>
          <w:color w:val="404040"/>
          <w:spacing w:val="1"/>
        </w:rPr>
        <w:t> </w:t>
      </w:r>
      <w:r>
        <w:rPr>
          <w:color w:val="404040"/>
        </w:rPr>
        <w:t>Tank</w:t>
      </w:r>
      <w:r>
        <w:rPr>
          <w:color w:val="404040"/>
          <w:spacing w:val="1"/>
        </w:rPr>
        <w:t> </w:t>
      </w:r>
      <w:r>
        <w:rPr>
          <w:b/>
          <w:color w:val="404040"/>
        </w:rPr>
        <w:t>“Welfare,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Italia”</w:t>
      </w:r>
      <w:r>
        <w:rPr>
          <w:b/>
          <w:color w:val="404040"/>
          <w:spacing w:val="1"/>
        </w:rPr>
        <w:t> </w:t>
      </w:r>
      <w:r>
        <w:rPr>
          <w:color w:val="404040"/>
        </w:rPr>
        <w:t>supportata</w:t>
      </w:r>
      <w:r>
        <w:rPr>
          <w:color w:val="404040"/>
          <w:spacing w:val="1"/>
        </w:rPr>
        <w:t> </w:t>
      </w:r>
      <w:r>
        <w:rPr>
          <w:color w:val="404040"/>
        </w:rPr>
        <w:t>da</w:t>
      </w:r>
      <w:r>
        <w:rPr>
          <w:color w:val="404040"/>
          <w:spacing w:val="1"/>
        </w:rPr>
        <w:t> </w:t>
      </w:r>
      <w:r>
        <w:rPr>
          <w:b/>
          <w:color w:val="404040"/>
        </w:rPr>
        <w:t>Unipol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Gruppo</w:t>
      </w:r>
      <w:r>
        <w:rPr>
          <w:b/>
          <w:color w:val="404040"/>
          <w:spacing w:val="1"/>
        </w:rPr>
        <w:t> </w:t>
      </w:r>
      <w:r>
        <w:rPr>
          <w:color w:val="404040"/>
        </w:rPr>
        <w:t>con</w:t>
      </w:r>
      <w:r>
        <w:rPr>
          <w:color w:val="404040"/>
          <w:spacing w:val="1"/>
        </w:rPr>
        <w:t> </w:t>
      </w: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color w:val="404040"/>
        </w:rPr>
        <w:t>collaborazione di </w:t>
      </w:r>
      <w:r>
        <w:rPr>
          <w:b/>
          <w:color w:val="404040"/>
        </w:rPr>
        <w:t>The European House – Ambrosetti</w:t>
      </w:r>
      <w:r>
        <w:rPr>
          <w:color w:val="404040"/>
        </w:rPr>
        <w:t>, e con il sostegno di un comitato scientifico</w:t>
      </w:r>
      <w:r>
        <w:rPr>
          <w:color w:val="404040"/>
          <w:spacing w:val="1"/>
        </w:rPr>
        <w:t> </w:t>
      </w:r>
      <w:r>
        <w:rPr>
          <w:color w:val="404040"/>
        </w:rPr>
        <w:t>composto</w:t>
      </w:r>
      <w:r>
        <w:rPr>
          <w:color w:val="404040"/>
          <w:spacing w:val="-3"/>
        </w:rPr>
        <w:t> </w:t>
      </w:r>
      <w:r>
        <w:rPr>
          <w:color w:val="404040"/>
        </w:rPr>
        <w:t>da</w:t>
      </w:r>
      <w:r>
        <w:rPr>
          <w:color w:val="404040"/>
          <w:spacing w:val="-1"/>
        </w:rPr>
        <w:t> </w:t>
      </w:r>
      <w:r>
        <w:rPr>
          <w:color w:val="404040"/>
        </w:rPr>
        <w:t>Veronica</w:t>
      </w:r>
      <w:r>
        <w:rPr>
          <w:color w:val="404040"/>
          <w:spacing w:val="-3"/>
        </w:rPr>
        <w:t> </w:t>
      </w:r>
      <w:r>
        <w:rPr>
          <w:color w:val="404040"/>
        </w:rPr>
        <w:t>De</w:t>
      </w:r>
      <w:r>
        <w:rPr>
          <w:color w:val="404040"/>
          <w:spacing w:val="-3"/>
        </w:rPr>
        <w:t> </w:t>
      </w:r>
      <w:r>
        <w:rPr>
          <w:color w:val="404040"/>
        </w:rPr>
        <w:t>Romanis,</w:t>
      </w:r>
      <w:r>
        <w:rPr>
          <w:color w:val="404040"/>
          <w:spacing w:val="-1"/>
        </w:rPr>
        <w:t> </w:t>
      </w:r>
      <w:r>
        <w:rPr>
          <w:color w:val="404040"/>
        </w:rPr>
        <w:t>Giuseppe Guzzetti,</w:t>
      </w:r>
      <w:r>
        <w:rPr>
          <w:color w:val="404040"/>
          <w:spacing w:val="-1"/>
        </w:rPr>
        <w:t> </w:t>
      </w:r>
      <w:r>
        <w:rPr>
          <w:color w:val="404040"/>
        </w:rPr>
        <w:t>Walter</w:t>
      </w:r>
      <w:r>
        <w:rPr>
          <w:color w:val="404040"/>
          <w:spacing w:val="-1"/>
        </w:rPr>
        <w:t> </w:t>
      </w:r>
      <w:r>
        <w:rPr>
          <w:color w:val="404040"/>
        </w:rPr>
        <w:t>Ricciardi</w:t>
      </w:r>
      <w:r>
        <w:rPr>
          <w:color w:val="404040"/>
          <w:spacing w:val="-1"/>
        </w:rPr>
        <w:t> </w:t>
      </w:r>
      <w:r>
        <w:rPr>
          <w:color w:val="404040"/>
        </w:rPr>
        <w:t>e Stefano Scarpetta.</w:t>
      </w:r>
    </w:p>
    <w:p>
      <w:pPr>
        <w:pStyle w:val="BodyText"/>
        <w:ind w:left="117" w:right="115"/>
        <w:jc w:val="both"/>
      </w:pPr>
      <w:r>
        <w:rPr>
          <w:color w:val="404040"/>
        </w:rPr>
        <w:t>L’andamento della spesa in welfare, le dinamiche demografiche in atto, l’impatto dell’inflazione sulla</w:t>
      </w:r>
      <w:r>
        <w:rPr>
          <w:color w:val="404040"/>
          <w:spacing w:val="1"/>
        </w:rPr>
        <w:t> </w:t>
      </w:r>
      <w:r>
        <w:rPr>
          <w:color w:val="404040"/>
        </w:rPr>
        <w:t>domanda di protezione sociale, le criticità del mondo del lavoro, la sostenibilità di medio-lungo</w:t>
      </w:r>
      <w:r>
        <w:rPr>
          <w:color w:val="404040"/>
          <w:spacing w:val="1"/>
        </w:rPr>
        <w:t> </w:t>
      </w:r>
      <w:r>
        <w:rPr>
          <w:color w:val="404040"/>
        </w:rPr>
        <w:t>termine del sistema, il ruolo del privato e degli investimenti sociali, il contributo del PNRR e le</w:t>
      </w:r>
      <w:r>
        <w:rPr>
          <w:color w:val="404040"/>
          <w:spacing w:val="1"/>
        </w:rPr>
        <w:t> </w:t>
      </w:r>
      <w:r>
        <w:rPr>
          <w:color w:val="404040"/>
        </w:rPr>
        <w:t>strategie a livello europeo: sono soltanto alcuni dei temi di dibattito affrontati nell’appuntamento</w:t>
      </w:r>
      <w:r>
        <w:rPr>
          <w:color w:val="404040"/>
          <w:spacing w:val="1"/>
        </w:rPr>
        <w:t> </w:t>
      </w:r>
      <w:r>
        <w:rPr>
          <w:color w:val="404040"/>
        </w:rPr>
        <w:t>annuale del Welfare Italia Forum.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7" w:right="115"/>
        <w:jc w:val="both"/>
      </w:pPr>
      <w:r>
        <w:rPr>
          <w:color w:val="404040"/>
        </w:rPr>
        <w:t>“Welfare, Italia” si propone da oltre un decennio come luogo di analisi, studio e riflessione sui temi</w:t>
      </w:r>
      <w:r>
        <w:rPr>
          <w:color w:val="404040"/>
          <w:spacing w:val="1"/>
        </w:rPr>
        <w:t> </w:t>
      </w:r>
      <w:r>
        <w:rPr>
          <w:color w:val="404040"/>
        </w:rPr>
        <w:t>del welfare, aperto al confronto tra i principali stakeholder del settore del settore sia pubblico che</w:t>
      </w:r>
      <w:r>
        <w:rPr>
          <w:color w:val="404040"/>
          <w:spacing w:val="1"/>
        </w:rPr>
        <w:t> </w:t>
      </w:r>
      <w:r>
        <w:rPr>
          <w:color w:val="404040"/>
        </w:rPr>
        <w:t>privato: decisori, esponenti governativi nazionali e locali, parti sociali, casse e fondi previdenza e</w:t>
      </w:r>
      <w:r>
        <w:rPr>
          <w:color w:val="404040"/>
          <w:spacing w:val="1"/>
        </w:rPr>
        <w:t> </w:t>
      </w:r>
      <w:r>
        <w:rPr>
          <w:color w:val="404040"/>
        </w:rPr>
        <w:t>assistenza,</w:t>
      </w:r>
      <w:r>
        <w:rPr>
          <w:color w:val="404040"/>
          <w:spacing w:val="-1"/>
        </w:rPr>
        <w:t> </w:t>
      </w:r>
      <w:r>
        <w:rPr>
          <w:color w:val="404040"/>
        </w:rPr>
        <w:t>rappresentanti</w:t>
      </w:r>
      <w:r>
        <w:rPr>
          <w:color w:val="404040"/>
          <w:spacing w:val="-5"/>
        </w:rPr>
        <w:t> </w:t>
      </w:r>
      <w:r>
        <w:rPr>
          <w:color w:val="404040"/>
        </w:rPr>
        <w:t>di</w:t>
      </w:r>
      <w:r>
        <w:rPr>
          <w:color w:val="404040"/>
          <w:spacing w:val="-1"/>
        </w:rPr>
        <w:t> </w:t>
      </w:r>
      <w:r>
        <w:rPr>
          <w:color w:val="404040"/>
        </w:rPr>
        <w:t>imprese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dei</w:t>
      </w:r>
      <w:r>
        <w:rPr>
          <w:color w:val="404040"/>
          <w:spacing w:val="-1"/>
        </w:rPr>
        <w:t> </w:t>
      </w:r>
      <w:r>
        <w:rPr>
          <w:color w:val="404040"/>
        </w:rPr>
        <w:t>lavoratori,</w:t>
      </w:r>
      <w:r>
        <w:rPr>
          <w:color w:val="404040"/>
          <w:spacing w:val="-5"/>
        </w:rPr>
        <w:t> </w:t>
      </w:r>
      <w:r>
        <w:rPr>
          <w:color w:val="404040"/>
        </w:rPr>
        <w:t>università</w:t>
      </w:r>
      <w:r>
        <w:rPr>
          <w:color w:val="404040"/>
          <w:spacing w:val="-2"/>
        </w:rPr>
        <w:t> </w:t>
      </w:r>
      <w:r>
        <w:rPr>
          <w:color w:val="404040"/>
        </w:rPr>
        <w:t>e terzo</w:t>
      </w:r>
      <w:r>
        <w:rPr>
          <w:color w:val="404040"/>
          <w:spacing w:val="-1"/>
        </w:rPr>
        <w:t> </w:t>
      </w:r>
      <w:r>
        <w:rPr>
          <w:color w:val="404040"/>
        </w:rPr>
        <w:t>settore.</w:t>
      </w:r>
    </w:p>
    <w:p>
      <w:pPr>
        <w:pStyle w:val="BodyText"/>
        <w:spacing w:before="1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903097</wp:posOffset>
            </wp:positionH>
            <wp:positionV relativeFrom="paragraph">
              <wp:posOffset>171871</wp:posOffset>
            </wp:positionV>
            <wp:extent cx="5651838" cy="3948493"/>
            <wp:effectExtent l="0" t="0" r="0" b="0"/>
            <wp:wrapTopAndBottom/>
            <wp:docPr id="7" name="image4.jpeg" descr="P26#yIS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838" cy="3948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Heading1"/>
        <w:spacing w:before="57"/>
      </w:pPr>
      <w:r>
        <w:rPr>
          <w:color w:val="404040"/>
          <w:u w:val="single" w:color="404040"/>
        </w:rPr>
        <w:t>Nel</w:t>
      </w:r>
      <w:r>
        <w:rPr>
          <w:color w:val="404040"/>
          <w:spacing w:val="-1"/>
          <w:u w:val="single" w:color="404040"/>
        </w:rPr>
        <w:t> </w:t>
      </w:r>
      <w:r>
        <w:rPr>
          <w:color w:val="404040"/>
          <w:u w:val="single" w:color="404040"/>
        </w:rPr>
        <w:t>post-COVID-19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continua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l’aumento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della</w:t>
      </w:r>
      <w:r>
        <w:rPr>
          <w:color w:val="404040"/>
          <w:spacing w:val="-5"/>
          <w:u w:val="single" w:color="404040"/>
        </w:rPr>
        <w:t> </w:t>
      </w:r>
      <w:r>
        <w:rPr>
          <w:color w:val="404040"/>
          <w:u w:val="single" w:color="404040"/>
        </w:rPr>
        <w:t>spesa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in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welfare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spacing w:before="56"/>
        <w:ind w:left="118" w:right="114" w:hanging="1"/>
        <w:jc w:val="both"/>
      </w:pPr>
      <w:r>
        <w:rPr>
          <w:color w:val="404040"/>
        </w:rPr>
        <w:t>Secondo le stime del Think Tank “Welfare, Italia”, l’aumento generalizzato della spesa in welfare</w:t>
      </w:r>
      <w:r>
        <w:rPr>
          <w:color w:val="404040"/>
          <w:spacing w:val="1"/>
        </w:rPr>
        <w:t> </w:t>
      </w:r>
      <w:r>
        <w:rPr>
          <w:color w:val="404040"/>
        </w:rPr>
        <w:t>indotto dalla pandemia continua anche nel post COVID-19: dopo la crescita di 46 miliardi di euro nel</w:t>
      </w:r>
      <w:r>
        <w:rPr>
          <w:color w:val="404040"/>
          <w:spacing w:val="1"/>
        </w:rPr>
        <w:t> </w:t>
      </w:r>
      <w:r>
        <w:rPr>
          <w:color w:val="404040"/>
        </w:rPr>
        <w:t>2020, tra il 2021 e il 2022 la spesa nei 3 pilastri “tradizionali” (Sanità, Politiche Sociali, Previdenza) e</w:t>
      </w:r>
      <w:r>
        <w:rPr>
          <w:color w:val="404040"/>
          <w:spacing w:val="1"/>
        </w:rPr>
        <w:t> </w:t>
      </w:r>
      <w:r>
        <w:rPr>
          <w:color w:val="404040"/>
        </w:rPr>
        <w:t>nell’Istruzione è</w:t>
      </w:r>
      <w:r>
        <w:rPr>
          <w:color w:val="404040"/>
          <w:spacing w:val="1"/>
        </w:rPr>
        <w:t> </w:t>
      </w:r>
      <w:r>
        <w:rPr>
          <w:color w:val="404040"/>
        </w:rPr>
        <w:t>aumentata di ulteriori 22 miliardi, di cui 18 solo</w:t>
      </w:r>
      <w:r>
        <w:rPr>
          <w:color w:val="404040"/>
          <w:spacing w:val="49"/>
        </w:rPr>
        <w:t> </w:t>
      </w:r>
      <w:r>
        <w:rPr>
          <w:color w:val="404040"/>
        </w:rPr>
        <w:t>nel 2022, raggiungendo</w:t>
      </w:r>
      <w:r>
        <w:rPr>
          <w:color w:val="404040"/>
          <w:spacing w:val="50"/>
        </w:rPr>
        <w:t> </w:t>
      </w:r>
      <w:r>
        <w:rPr>
          <w:color w:val="404040"/>
        </w:rPr>
        <w:t>i 615</w:t>
      </w:r>
      <w:r>
        <w:rPr>
          <w:color w:val="404040"/>
          <w:spacing w:val="1"/>
        </w:rPr>
        <w:t> </w:t>
      </w:r>
      <w:r>
        <w:rPr>
          <w:color w:val="404040"/>
        </w:rPr>
        <w:t>miliardi di euro. In termini relativi, la previdenza continua ad assorbire circa la metà della spesa in</w:t>
      </w:r>
      <w:r>
        <w:rPr>
          <w:color w:val="404040"/>
          <w:spacing w:val="1"/>
        </w:rPr>
        <w:t> </w:t>
      </w:r>
      <w:r>
        <w:rPr>
          <w:color w:val="404040"/>
        </w:rPr>
        <w:t>welfare</w:t>
      </w:r>
      <w:r>
        <w:rPr>
          <w:color w:val="404040"/>
          <w:spacing w:val="-4"/>
        </w:rPr>
        <w:t> </w:t>
      </w:r>
      <w:r>
        <w:rPr>
          <w:color w:val="404040"/>
        </w:rPr>
        <w:t>(48,4%),</w:t>
      </w:r>
      <w:r>
        <w:rPr>
          <w:color w:val="404040"/>
          <w:spacing w:val="-4"/>
        </w:rPr>
        <w:t> </w:t>
      </w:r>
      <w:r>
        <w:rPr>
          <w:color w:val="404040"/>
        </w:rPr>
        <w:t>seguita</w:t>
      </w:r>
      <w:r>
        <w:rPr>
          <w:color w:val="404040"/>
          <w:spacing w:val="-3"/>
        </w:rPr>
        <w:t> </w:t>
      </w:r>
      <w:r>
        <w:rPr>
          <w:color w:val="404040"/>
        </w:rPr>
        <w:t>dalla</w:t>
      </w:r>
      <w:r>
        <w:rPr>
          <w:color w:val="404040"/>
          <w:spacing w:val="-3"/>
        </w:rPr>
        <w:t> </w:t>
      </w:r>
      <w:r>
        <w:rPr>
          <w:color w:val="404040"/>
        </w:rPr>
        <w:t>sanità</w:t>
      </w:r>
      <w:r>
        <w:rPr>
          <w:color w:val="404040"/>
          <w:spacing w:val="-2"/>
        </w:rPr>
        <w:t> </w:t>
      </w:r>
      <w:r>
        <w:rPr>
          <w:color w:val="404040"/>
        </w:rPr>
        <w:t>(21,8%),</w:t>
      </w:r>
      <w:r>
        <w:rPr>
          <w:color w:val="404040"/>
          <w:spacing w:val="-3"/>
        </w:rPr>
        <w:t> </w:t>
      </w:r>
      <w:r>
        <w:rPr>
          <w:color w:val="404040"/>
        </w:rPr>
        <w:t>dalle</w:t>
      </w:r>
      <w:r>
        <w:rPr>
          <w:color w:val="404040"/>
          <w:spacing w:val="-1"/>
        </w:rPr>
        <w:t> </w:t>
      </w:r>
      <w:r>
        <w:rPr>
          <w:color w:val="404040"/>
        </w:rPr>
        <w:t>politiche</w:t>
      </w:r>
      <w:r>
        <w:rPr>
          <w:color w:val="404040"/>
          <w:spacing w:val="-2"/>
        </w:rPr>
        <w:t> </w:t>
      </w:r>
      <w:r>
        <w:rPr>
          <w:color w:val="404040"/>
        </w:rPr>
        <w:t>sociali</w:t>
      </w:r>
      <w:r>
        <w:rPr>
          <w:color w:val="404040"/>
          <w:spacing w:val="-3"/>
        </w:rPr>
        <w:t> </w:t>
      </w:r>
      <w:r>
        <w:rPr>
          <w:color w:val="404040"/>
        </w:rPr>
        <w:t>(18,2%)</w:t>
      </w:r>
      <w:r>
        <w:rPr>
          <w:color w:val="404040"/>
          <w:spacing w:val="-4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dall’istruzione</w:t>
      </w:r>
      <w:r>
        <w:rPr>
          <w:color w:val="404040"/>
          <w:spacing w:val="-1"/>
        </w:rPr>
        <w:t> </w:t>
      </w:r>
      <w:r>
        <w:rPr>
          <w:color w:val="404040"/>
        </w:rPr>
        <w:t>(11,6%).</w:t>
      </w:r>
    </w:p>
    <w:p>
      <w:pPr>
        <w:pStyle w:val="BodyText"/>
      </w:pPr>
    </w:p>
    <w:p>
      <w:pPr>
        <w:pStyle w:val="BodyText"/>
      </w:pPr>
    </w:p>
    <w:p>
      <w:pPr>
        <w:pStyle w:val="Heading1"/>
        <w:jc w:val="both"/>
      </w:pPr>
      <w:r>
        <w:rPr>
          <w:color w:val="404040"/>
          <w:u w:val="single" w:color="404040"/>
        </w:rPr>
        <w:t>L’impatto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dell’inflazione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rischia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di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portare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ulteriori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300.000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famiglie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nella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povertà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assoluta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spacing w:before="56"/>
        <w:ind w:left="118" w:right="112"/>
        <w:jc w:val="both"/>
      </w:pPr>
      <w:r>
        <w:rPr>
          <w:color w:val="404040"/>
        </w:rPr>
        <w:t>La ripresa economica del 2021 e, successivamente, il conflitto in Ucraina, hanno generato una forte</w:t>
      </w:r>
      <w:r>
        <w:rPr>
          <w:color w:val="404040"/>
          <w:spacing w:val="1"/>
        </w:rPr>
        <w:t> </w:t>
      </w:r>
      <w:r>
        <w:rPr>
          <w:color w:val="404040"/>
        </w:rPr>
        <w:t>pressione inflattiva nel Paese, con l’indice dei prezzi al consumo che ad ottobre 2022 ha raggiunto il</w:t>
      </w:r>
      <w:r>
        <w:rPr>
          <w:color w:val="404040"/>
          <w:spacing w:val="1"/>
        </w:rPr>
        <w:t> </w:t>
      </w:r>
      <w:r>
        <w:rPr>
          <w:color w:val="404040"/>
        </w:rPr>
        <w:t>livello</w:t>
      </w:r>
      <w:r>
        <w:rPr>
          <w:color w:val="404040"/>
          <w:spacing w:val="-2"/>
        </w:rPr>
        <w:t> </w:t>
      </w:r>
      <w:r>
        <w:rPr>
          <w:color w:val="404040"/>
        </w:rPr>
        <w:t>record</w:t>
      </w:r>
      <w:r>
        <w:rPr>
          <w:color w:val="404040"/>
          <w:spacing w:val="-1"/>
        </w:rPr>
        <w:t> </w:t>
      </w:r>
      <w:r>
        <w:rPr>
          <w:color w:val="404040"/>
        </w:rPr>
        <w:t>dell’11,9%</w:t>
      </w:r>
      <w:r>
        <w:rPr>
          <w:color w:val="404040"/>
          <w:spacing w:val="1"/>
        </w:rPr>
        <w:t> </w:t>
      </w:r>
      <w:r>
        <w:rPr>
          <w:color w:val="404040"/>
        </w:rPr>
        <w:t>(come</w:t>
      </w:r>
      <w:r>
        <w:rPr>
          <w:color w:val="404040"/>
          <w:spacing w:val="1"/>
        </w:rPr>
        <w:t> </w:t>
      </w:r>
      <w:r>
        <w:rPr>
          <w:color w:val="404040"/>
        </w:rPr>
        <w:t>a</w:t>
      </w:r>
      <w:r>
        <w:rPr>
          <w:color w:val="404040"/>
          <w:spacing w:val="-2"/>
        </w:rPr>
        <w:t> </w:t>
      </w:r>
      <w:r>
        <w:rPr>
          <w:color w:val="404040"/>
        </w:rPr>
        <w:t>marzo</w:t>
      </w:r>
      <w:r>
        <w:rPr>
          <w:color w:val="404040"/>
          <w:spacing w:val="-1"/>
        </w:rPr>
        <w:t> </w:t>
      </w:r>
      <w:r>
        <w:rPr>
          <w:color w:val="404040"/>
        </w:rPr>
        <w:t>1984).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18" w:right="111" w:firstLine="0"/>
        <w:jc w:val="both"/>
        <w:rPr>
          <w:sz w:val="22"/>
        </w:rPr>
      </w:pPr>
      <w:r>
        <w:rPr>
          <w:color w:val="404040"/>
          <w:sz w:val="22"/>
        </w:rPr>
        <w:t>Oltre a impattare negativamente sulle stime di crescita del PIL nel biennio 2022-2023, la spinta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inflattiva rischia di portare </w:t>
      </w:r>
      <w:r>
        <w:rPr>
          <w:b/>
          <w:color w:val="404040"/>
          <w:sz w:val="22"/>
        </w:rPr>
        <w:t>da 2 a 2,3 milioni il numero di famiglie in povertà assoluta </w:t>
      </w:r>
      <w:r>
        <w:rPr>
          <w:color w:val="404040"/>
          <w:sz w:val="22"/>
        </w:rPr>
        <w:t>(il numero più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alto dall’inizio</w:t>
      </w:r>
      <w:r>
        <w:rPr>
          <w:color w:val="404040"/>
          <w:spacing w:val="-2"/>
          <w:sz w:val="22"/>
        </w:rPr>
        <w:t> </w:t>
      </w:r>
      <w:r>
        <w:rPr>
          <w:color w:val="404040"/>
          <w:sz w:val="22"/>
        </w:rPr>
        <w:t>della rilevazione Istat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nel</w:t>
      </w:r>
      <w:r>
        <w:rPr>
          <w:color w:val="404040"/>
          <w:spacing w:val="-4"/>
          <w:sz w:val="22"/>
        </w:rPr>
        <w:t> </w:t>
      </w:r>
      <w:r>
        <w:rPr>
          <w:color w:val="404040"/>
          <w:sz w:val="22"/>
        </w:rPr>
        <w:t>2005),</w:t>
      </w:r>
      <w:r>
        <w:rPr>
          <w:color w:val="404040"/>
          <w:spacing w:val="-1"/>
          <w:sz w:val="22"/>
        </w:rPr>
        <w:t> </w:t>
      </w:r>
      <w:r>
        <w:rPr>
          <w:color w:val="404040"/>
          <w:sz w:val="22"/>
        </w:rPr>
        <w:t>per un</w:t>
      </w:r>
      <w:r>
        <w:rPr>
          <w:color w:val="404040"/>
          <w:spacing w:val="-4"/>
          <w:sz w:val="22"/>
        </w:rPr>
        <w:t> </w:t>
      </w:r>
      <w:r>
        <w:rPr>
          <w:color w:val="404040"/>
          <w:sz w:val="22"/>
        </w:rPr>
        <w:t>totale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</w:t>
      </w:r>
      <w:r>
        <w:rPr>
          <w:color w:val="404040"/>
          <w:spacing w:val="-4"/>
          <w:sz w:val="22"/>
        </w:rPr>
        <w:t> </w:t>
      </w:r>
      <w:r>
        <w:rPr>
          <w:color w:val="404040"/>
          <w:sz w:val="22"/>
        </w:rPr>
        <w:t>6,4</w:t>
      </w:r>
      <w:r>
        <w:rPr>
          <w:color w:val="404040"/>
          <w:spacing w:val="-1"/>
          <w:sz w:val="22"/>
        </w:rPr>
        <w:t> </w:t>
      </w:r>
      <w:r>
        <w:rPr>
          <w:color w:val="404040"/>
          <w:sz w:val="22"/>
        </w:rPr>
        <w:t>milioni</w:t>
      </w:r>
      <w:r>
        <w:rPr>
          <w:color w:val="404040"/>
          <w:spacing w:val="-1"/>
          <w:sz w:val="22"/>
        </w:rPr>
        <w:t> </w:t>
      </w:r>
      <w:r>
        <w:rPr>
          <w:color w:val="404040"/>
          <w:sz w:val="22"/>
        </w:rPr>
        <w:t>di</w:t>
      </w:r>
      <w:r>
        <w:rPr>
          <w:color w:val="404040"/>
          <w:spacing w:val="-1"/>
          <w:sz w:val="22"/>
        </w:rPr>
        <w:t> </w:t>
      </w:r>
      <w:r>
        <w:rPr>
          <w:color w:val="404040"/>
          <w:sz w:val="22"/>
        </w:rPr>
        <w:t>persone.</w:t>
      </w:r>
    </w:p>
    <w:p>
      <w:pPr>
        <w:pStyle w:val="BodyText"/>
      </w:pPr>
    </w:p>
    <w:p>
      <w:pPr>
        <w:pStyle w:val="BodyText"/>
        <w:ind w:left="117" w:right="113"/>
        <w:jc w:val="both"/>
      </w:pPr>
      <w:r>
        <w:rPr>
          <w:color w:val="404040"/>
        </w:rPr>
        <w:t>Gli impatti saranno particolarmente gravi per le famiglie già più vulnerabili, che destinano a spese</w:t>
      </w:r>
      <w:r>
        <w:rPr>
          <w:color w:val="404040"/>
          <w:spacing w:val="1"/>
        </w:rPr>
        <w:t> </w:t>
      </w:r>
      <w:r>
        <w:rPr>
          <w:color w:val="404040"/>
        </w:rPr>
        <w:t>essenziali (alimentari, affitti, acqua, luce e gas, salute) il 76% del proprio reddito (vs. 56% per le</w:t>
      </w:r>
      <w:r>
        <w:rPr>
          <w:color w:val="404040"/>
          <w:spacing w:val="1"/>
        </w:rPr>
        <w:t> </w:t>
      </w:r>
      <w:r>
        <w:rPr>
          <w:color w:val="404040"/>
        </w:rPr>
        <w:t>famiglie a più alto reddito): per le famiglie meno abbienti il </w:t>
      </w:r>
      <w:r>
        <w:rPr>
          <w:b/>
          <w:color w:val="404040"/>
        </w:rPr>
        <w:t>reddito disponibile per le spese out-of-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pocket </w:t>
      </w:r>
      <w:r>
        <w:rPr>
          <w:color w:val="404040"/>
        </w:rPr>
        <w:t>(non necessarie alla sussistenza) è già stato </w:t>
      </w:r>
      <w:r>
        <w:rPr>
          <w:b/>
          <w:color w:val="404040"/>
        </w:rPr>
        <w:t>più che decimato dall’inflazione</w:t>
      </w:r>
      <w:r>
        <w:rPr>
          <w:color w:val="404040"/>
        </w:rPr>
        <w:t>, riducendosi del</w:t>
      </w:r>
      <w:r>
        <w:rPr>
          <w:color w:val="404040"/>
          <w:spacing w:val="1"/>
        </w:rPr>
        <w:t> </w:t>
      </w:r>
      <w:r>
        <w:rPr>
          <w:b/>
          <w:color w:val="404040"/>
        </w:rPr>
        <w:t>20,7%</w:t>
      </w:r>
      <w:r>
        <w:rPr>
          <w:b/>
          <w:color w:val="404040"/>
          <w:spacing w:val="-4"/>
        </w:rPr>
        <w:t> </w:t>
      </w:r>
      <w:r>
        <w:rPr>
          <w:color w:val="404040"/>
        </w:rPr>
        <w:t>(15,7</w:t>
      </w:r>
      <w:r>
        <w:rPr>
          <w:color w:val="404040"/>
          <w:spacing w:val="-1"/>
        </w:rPr>
        <w:t> </w:t>
      </w:r>
      <w:r>
        <w:rPr>
          <w:color w:val="404040"/>
        </w:rPr>
        <w:t>punti percentuali in</w:t>
      </w:r>
      <w:r>
        <w:rPr>
          <w:color w:val="404040"/>
          <w:spacing w:val="-1"/>
        </w:rPr>
        <w:t> </w:t>
      </w:r>
      <w:r>
        <w:rPr>
          <w:color w:val="404040"/>
        </w:rPr>
        <w:t>più</w:t>
      </w:r>
      <w:r>
        <w:rPr>
          <w:color w:val="404040"/>
          <w:spacing w:val="-2"/>
        </w:rPr>
        <w:t> </w:t>
      </w:r>
      <w:r>
        <w:rPr>
          <w:color w:val="404040"/>
        </w:rPr>
        <w:t>del quintile</w:t>
      </w:r>
      <w:r>
        <w:rPr>
          <w:color w:val="404040"/>
          <w:spacing w:val="1"/>
        </w:rPr>
        <w:t> </w:t>
      </w:r>
      <w:r>
        <w:rPr>
          <w:color w:val="404040"/>
        </w:rPr>
        <w:t>più</w:t>
      </w:r>
      <w:r>
        <w:rPr>
          <w:color w:val="404040"/>
          <w:spacing w:val="-1"/>
        </w:rPr>
        <w:t> </w:t>
      </w:r>
      <w:r>
        <w:rPr>
          <w:color w:val="404040"/>
        </w:rPr>
        <w:t>ricco).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7" w:right="112"/>
        <w:jc w:val="both"/>
      </w:pPr>
      <w:r>
        <w:rPr>
          <w:color w:val="404040"/>
        </w:rPr>
        <w:t>Inoltre,</w:t>
      </w:r>
      <w:r>
        <w:rPr>
          <w:color w:val="404040"/>
          <w:spacing w:val="10"/>
        </w:rPr>
        <w:t> </w:t>
      </w:r>
      <w:r>
        <w:rPr>
          <w:color w:val="404040"/>
        </w:rPr>
        <w:t>l’inflazione</w:t>
      </w:r>
      <w:r>
        <w:rPr>
          <w:color w:val="404040"/>
          <w:spacing w:val="11"/>
        </w:rPr>
        <w:t> </w:t>
      </w:r>
      <w:r>
        <w:rPr>
          <w:color w:val="404040"/>
        </w:rPr>
        <w:t>avrà</w:t>
      </w:r>
      <w:r>
        <w:rPr>
          <w:color w:val="404040"/>
          <w:spacing w:val="11"/>
        </w:rPr>
        <w:t> </w:t>
      </w:r>
      <w:r>
        <w:rPr>
          <w:color w:val="404040"/>
        </w:rPr>
        <w:t>un</w:t>
      </w:r>
      <w:r>
        <w:rPr>
          <w:color w:val="404040"/>
          <w:spacing w:val="7"/>
        </w:rPr>
        <w:t> </w:t>
      </w:r>
      <w:r>
        <w:rPr>
          <w:color w:val="404040"/>
        </w:rPr>
        <w:t>impatto</w:t>
      </w:r>
      <w:r>
        <w:rPr>
          <w:color w:val="404040"/>
          <w:spacing w:val="12"/>
        </w:rPr>
        <w:t> </w:t>
      </w:r>
      <w:r>
        <w:rPr>
          <w:color w:val="404040"/>
        </w:rPr>
        <w:t>negativo</w:t>
      </w:r>
      <w:r>
        <w:rPr>
          <w:color w:val="404040"/>
          <w:spacing w:val="11"/>
        </w:rPr>
        <w:t> </w:t>
      </w:r>
      <w:r>
        <w:rPr>
          <w:color w:val="404040"/>
        </w:rPr>
        <w:t>anche</w:t>
      </w:r>
      <w:r>
        <w:rPr>
          <w:color w:val="404040"/>
          <w:spacing w:val="12"/>
        </w:rPr>
        <w:t> </w:t>
      </w:r>
      <w:r>
        <w:rPr>
          <w:color w:val="404040"/>
        </w:rPr>
        <w:t>sui</w:t>
      </w:r>
      <w:r>
        <w:rPr>
          <w:color w:val="404040"/>
          <w:spacing w:val="10"/>
        </w:rPr>
        <w:t> </w:t>
      </w:r>
      <w:r>
        <w:rPr>
          <w:color w:val="404040"/>
        </w:rPr>
        <w:t>risparmi</w:t>
      </w:r>
      <w:r>
        <w:rPr>
          <w:color w:val="404040"/>
          <w:spacing w:val="11"/>
        </w:rPr>
        <w:t> </w:t>
      </w:r>
      <w:r>
        <w:rPr>
          <w:color w:val="404040"/>
        </w:rPr>
        <w:t>e</w:t>
      </w:r>
      <w:r>
        <w:rPr>
          <w:color w:val="404040"/>
          <w:spacing w:val="11"/>
        </w:rPr>
        <w:t> </w:t>
      </w:r>
      <w:r>
        <w:rPr>
          <w:color w:val="404040"/>
        </w:rPr>
        <w:t>sul</w:t>
      </w:r>
      <w:r>
        <w:rPr>
          <w:color w:val="404040"/>
          <w:spacing w:val="11"/>
        </w:rPr>
        <w:t> </w:t>
      </w:r>
      <w:r>
        <w:rPr>
          <w:color w:val="404040"/>
        </w:rPr>
        <w:t>valore</w:t>
      </w:r>
      <w:r>
        <w:rPr>
          <w:color w:val="404040"/>
          <w:spacing w:val="11"/>
        </w:rPr>
        <w:t> </w:t>
      </w:r>
      <w:r>
        <w:rPr>
          <w:color w:val="404040"/>
        </w:rPr>
        <w:t>dei</w:t>
      </w:r>
      <w:r>
        <w:rPr>
          <w:color w:val="404040"/>
          <w:spacing w:val="8"/>
        </w:rPr>
        <w:t> </w:t>
      </w:r>
      <w:r>
        <w:rPr>
          <w:color w:val="404040"/>
        </w:rPr>
        <w:t>salari</w:t>
      </w:r>
      <w:r>
        <w:rPr>
          <w:color w:val="404040"/>
          <w:spacing w:val="11"/>
        </w:rPr>
        <w:t> </w:t>
      </w:r>
      <w:r>
        <w:rPr>
          <w:color w:val="404040"/>
        </w:rPr>
        <w:t>reali:</w:t>
      </w:r>
      <w:r>
        <w:rPr>
          <w:color w:val="404040"/>
          <w:spacing w:val="11"/>
        </w:rPr>
        <w:t> </w:t>
      </w:r>
      <w:r>
        <w:rPr>
          <w:color w:val="404040"/>
        </w:rPr>
        <w:t>secondo</w:t>
      </w:r>
      <w:r>
        <w:rPr>
          <w:color w:val="404040"/>
          <w:spacing w:val="-47"/>
        </w:rPr>
        <w:t> </w:t>
      </w:r>
      <w:r>
        <w:rPr>
          <w:color w:val="404040"/>
        </w:rPr>
        <w:t>le</w:t>
      </w:r>
      <w:r>
        <w:rPr>
          <w:color w:val="404040"/>
          <w:spacing w:val="8"/>
        </w:rPr>
        <w:t> </w:t>
      </w:r>
      <w:r>
        <w:rPr>
          <w:color w:val="404040"/>
        </w:rPr>
        <w:t>stime</w:t>
      </w:r>
      <w:r>
        <w:rPr>
          <w:color w:val="404040"/>
          <w:spacing w:val="6"/>
        </w:rPr>
        <w:t> </w:t>
      </w:r>
      <w:r>
        <w:rPr>
          <w:color w:val="404040"/>
        </w:rPr>
        <w:t>OCSE,</w:t>
      </w:r>
      <w:r>
        <w:rPr>
          <w:color w:val="404040"/>
          <w:spacing w:val="8"/>
        </w:rPr>
        <w:t> </w:t>
      </w:r>
      <w:r>
        <w:rPr>
          <w:color w:val="404040"/>
        </w:rPr>
        <w:t>nel</w:t>
      </w:r>
      <w:r>
        <w:rPr>
          <w:color w:val="404040"/>
          <w:spacing w:val="4"/>
        </w:rPr>
        <w:t> </w:t>
      </w:r>
      <w:r>
        <w:rPr>
          <w:color w:val="404040"/>
        </w:rPr>
        <w:t>2022</w:t>
      </w:r>
      <w:r>
        <w:rPr>
          <w:color w:val="404040"/>
          <w:spacing w:val="6"/>
        </w:rPr>
        <w:t> </w:t>
      </w:r>
      <w:r>
        <w:rPr>
          <w:color w:val="404040"/>
        </w:rPr>
        <w:t>il</w:t>
      </w:r>
      <w:r>
        <w:rPr>
          <w:color w:val="404040"/>
          <w:spacing w:val="5"/>
        </w:rPr>
        <w:t> </w:t>
      </w:r>
      <w:r>
        <w:rPr>
          <w:color w:val="404040"/>
        </w:rPr>
        <w:t>valore</w:t>
      </w:r>
      <w:r>
        <w:rPr>
          <w:color w:val="404040"/>
          <w:spacing w:val="6"/>
        </w:rPr>
        <w:t> </w:t>
      </w:r>
      <w:r>
        <w:rPr>
          <w:color w:val="404040"/>
        </w:rPr>
        <w:t>dei</w:t>
      </w:r>
      <w:r>
        <w:rPr>
          <w:color w:val="404040"/>
          <w:spacing w:val="6"/>
        </w:rPr>
        <w:t> </w:t>
      </w:r>
      <w:r>
        <w:rPr>
          <w:color w:val="404040"/>
        </w:rPr>
        <w:t>salari</w:t>
      </w:r>
      <w:r>
        <w:rPr>
          <w:color w:val="404040"/>
          <w:spacing w:val="8"/>
        </w:rPr>
        <w:t> </w:t>
      </w:r>
      <w:r>
        <w:rPr>
          <w:color w:val="404040"/>
        </w:rPr>
        <w:t>reali</w:t>
      </w:r>
      <w:r>
        <w:rPr>
          <w:color w:val="404040"/>
          <w:spacing w:val="8"/>
        </w:rPr>
        <w:t> </w:t>
      </w:r>
      <w:r>
        <w:rPr>
          <w:color w:val="404040"/>
        </w:rPr>
        <w:t>in</w:t>
      </w:r>
      <w:r>
        <w:rPr>
          <w:color w:val="404040"/>
          <w:spacing w:val="5"/>
        </w:rPr>
        <w:t> </w:t>
      </w:r>
      <w:r>
        <w:rPr>
          <w:color w:val="404040"/>
        </w:rPr>
        <w:t>Italia</w:t>
      </w:r>
      <w:r>
        <w:rPr>
          <w:color w:val="404040"/>
          <w:spacing w:val="8"/>
        </w:rPr>
        <w:t> </w:t>
      </w:r>
      <w:r>
        <w:rPr>
          <w:color w:val="404040"/>
        </w:rPr>
        <w:t>si</w:t>
      </w:r>
      <w:r>
        <w:rPr>
          <w:color w:val="404040"/>
          <w:spacing w:val="8"/>
        </w:rPr>
        <w:t> </w:t>
      </w:r>
      <w:r>
        <w:rPr>
          <w:color w:val="404040"/>
        </w:rPr>
        <w:t>ridurrà</w:t>
      </w:r>
      <w:r>
        <w:rPr>
          <w:color w:val="404040"/>
          <w:spacing w:val="5"/>
        </w:rPr>
        <w:t> </w:t>
      </w:r>
      <w:r>
        <w:rPr>
          <w:color w:val="404040"/>
        </w:rPr>
        <w:t>del</w:t>
      </w:r>
      <w:r>
        <w:rPr>
          <w:color w:val="404040"/>
          <w:spacing w:val="7"/>
        </w:rPr>
        <w:t> </w:t>
      </w:r>
      <w:r>
        <w:rPr>
          <w:b/>
          <w:color w:val="404040"/>
        </w:rPr>
        <w:t>-3,1%</w:t>
      </w:r>
      <w:r>
        <w:rPr>
          <w:b/>
          <w:color w:val="404040"/>
          <w:spacing w:val="5"/>
        </w:rPr>
        <w:t> </w:t>
      </w:r>
      <w:r>
        <w:rPr>
          <w:color w:val="404040"/>
        </w:rPr>
        <w:t>(rispetto</w:t>
      </w:r>
      <w:r>
        <w:rPr>
          <w:color w:val="404040"/>
          <w:spacing w:val="8"/>
        </w:rPr>
        <w:t> </w:t>
      </w:r>
      <w:r>
        <w:rPr>
          <w:color w:val="404040"/>
        </w:rPr>
        <w:t>alla</w:t>
      </w:r>
      <w:r>
        <w:rPr>
          <w:color w:val="404040"/>
          <w:spacing w:val="5"/>
        </w:rPr>
        <w:t> </w:t>
      </w:r>
      <w:r>
        <w:rPr>
          <w:color w:val="404040"/>
        </w:rPr>
        <w:t>media</w:t>
      </w:r>
      <w:r>
        <w:rPr>
          <w:color w:val="404040"/>
          <w:spacing w:val="7"/>
        </w:rPr>
        <w:t> </w:t>
      </w:r>
      <w:r>
        <w:rPr>
          <w:color w:val="404040"/>
        </w:rPr>
        <w:t>OCSE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1"/>
        </w:rPr>
        <w:t> </w:t>
      </w:r>
      <w:r>
        <w:rPr>
          <w:color w:val="404040"/>
        </w:rPr>
        <w:t>-2,3%),</w:t>
      </w:r>
      <w:r>
        <w:rPr>
          <w:color w:val="404040"/>
          <w:spacing w:val="11"/>
        </w:rPr>
        <w:t> </w:t>
      </w:r>
      <w:r>
        <w:rPr>
          <w:color w:val="404040"/>
        </w:rPr>
        <w:t>in</w:t>
      </w:r>
      <w:r>
        <w:rPr>
          <w:color w:val="404040"/>
          <w:spacing w:val="10"/>
        </w:rPr>
        <w:t> </w:t>
      </w:r>
      <w:r>
        <w:rPr>
          <w:color w:val="404040"/>
        </w:rPr>
        <w:t>un</w:t>
      </w:r>
      <w:r>
        <w:rPr>
          <w:color w:val="404040"/>
          <w:spacing w:val="10"/>
        </w:rPr>
        <w:t> </w:t>
      </w:r>
      <w:r>
        <w:rPr>
          <w:color w:val="404040"/>
        </w:rPr>
        <w:t>contesto</w:t>
      </w:r>
      <w:r>
        <w:rPr>
          <w:color w:val="404040"/>
          <w:spacing w:val="12"/>
        </w:rPr>
        <w:t> </w:t>
      </w:r>
      <w:r>
        <w:rPr>
          <w:color w:val="404040"/>
        </w:rPr>
        <w:t>in</w:t>
      </w:r>
      <w:r>
        <w:rPr>
          <w:color w:val="404040"/>
          <w:spacing w:val="10"/>
        </w:rPr>
        <w:t> </w:t>
      </w:r>
      <w:r>
        <w:rPr>
          <w:color w:val="404040"/>
        </w:rPr>
        <w:t>cui</w:t>
      </w:r>
      <w:r>
        <w:rPr>
          <w:color w:val="404040"/>
          <w:spacing w:val="12"/>
        </w:rPr>
        <w:t> </w:t>
      </w:r>
      <w:r>
        <w:rPr>
          <w:color w:val="404040"/>
        </w:rPr>
        <w:t>l’Italia,</w:t>
      </w:r>
      <w:r>
        <w:rPr>
          <w:color w:val="404040"/>
          <w:spacing w:val="11"/>
        </w:rPr>
        <w:t> </w:t>
      </w:r>
      <w:r>
        <w:rPr>
          <w:color w:val="404040"/>
        </w:rPr>
        <w:t>negli</w:t>
      </w:r>
      <w:r>
        <w:rPr>
          <w:color w:val="404040"/>
          <w:spacing w:val="11"/>
        </w:rPr>
        <w:t> </w:t>
      </w:r>
      <w:r>
        <w:rPr>
          <w:color w:val="404040"/>
        </w:rPr>
        <w:t>ultimi</w:t>
      </w:r>
      <w:r>
        <w:rPr>
          <w:color w:val="404040"/>
          <w:spacing w:val="8"/>
        </w:rPr>
        <w:t> </w:t>
      </w:r>
      <w:r>
        <w:rPr>
          <w:color w:val="404040"/>
        </w:rPr>
        <w:t>30</w:t>
      </w:r>
      <w:r>
        <w:rPr>
          <w:color w:val="404040"/>
          <w:spacing w:val="10"/>
        </w:rPr>
        <w:t> </w:t>
      </w:r>
      <w:r>
        <w:rPr>
          <w:color w:val="404040"/>
        </w:rPr>
        <w:t>anni,</w:t>
      </w:r>
      <w:r>
        <w:rPr>
          <w:color w:val="404040"/>
          <w:spacing w:val="11"/>
        </w:rPr>
        <w:t> </w:t>
      </w:r>
      <w:r>
        <w:rPr>
          <w:color w:val="404040"/>
        </w:rPr>
        <w:t>è</w:t>
      </w:r>
      <w:r>
        <w:rPr>
          <w:color w:val="404040"/>
          <w:spacing w:val="12"/>
        </w:rPr>
        <w:t> </w:t>
      </w:r>
      <w:r>
        <w:rPr>
          <w:color w:val="404040"/>
        </w:rPr>
        <w:t>stato</w:t>
      </w:r>
      <w:r>
        <w:rPr>
          <w:color w:val="404040"/>
          <w:spacing w:val="13"/>
        </w:rPr>
        <w:t> </w:t>
      </w:r>
      <w:r>
        <w:rPr>
          <w:color w:val="404040"/>
        </w:rPr>
        <w:t>l’</w:t>
      </w:r>
      <w:r>
        <w:rPr>
          <w:b/>
          <w:color w:val="404040"/>
        </w:rPr>
        <w:t>unico</w:t>
      </w:r>
      <w:r>
        <w:rPr>
          <w:b/>
          <w:color w:val="404040"/>
          <w:spacing w:val="11"/>
        </w:rPr>
        <w:t> </w:t>
      </w:r>
      <w:r>
        <w:rPr>
          <w:b/>
          <w:color w:val="404040"/>
        </w:rPr>
        <w:t>Paese</w:t>
      </w:r>
      <w:r>
        <w:rPr>
          <w:b/>
          <w:color w:val="404040"/>
          <w:spacing w:val="8"/>
        </w:rPr>
        <w:t> </w:t>
      </w:r>
      <w:r>
        <w:rPr>
          <w:b/>
          <w:color w:val="404040"/>
        </w:rPr>
        <w:t>dell’area</w:t>
      </w:r>
      <w:r>
        <w:rPr>
          <w:b/>
          <w:color w:val="404040"/>
          <w:spacing w:val="10"/>
        </w:rPr>
        <w:t> </w:t>
      </w:r>
      <w:r>
        <w:rPr>
          <w:b/>
          <w:color w:val="404040"/>
        </w:rPr>
        <w:t>OECD</w:t>
      </w:r>
      <w:r>
        <w:rPr>
          <w:b/>
          <w:color w:val="404040"/>
          <w:spacing w:val="11"/>
        </w:rPr>
        <w:t> </w:t>
      </w:r>
      <w:r>
        <w:rPr>
          <w:b/>
          <w:color w:val="404040"/>
        </w:rPr>
        <w:t>che</w:t>
      </w:r>
      <w:r>
        <w:rPr>
          <w:b/>
          <w:color w:val="404040"/>
          <w:spacing w:val="-47"/>
        </w:rPr>
        <w:t> </w:t>
      </w:r>
      <w:r>
        <w:rPr>
          <w:b/>
          <w:color w:val="404040"/>
        </w:rPr>
        <w:t>ha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visto</w:t>
      </w:r>
      <w:r>
        <w:rPr>
          <w:b/>
          <w:color w:val="404040"/>
          <w:spacing w:val="-1"/>
        </w:rPr>
        <w:t> </w:t>
      </w:r>
      <w:r>
        <w:rPr>
          <w:b/>
          <w:color w:val="404040"/>
        </w:rPr>
        <w:t>una</w:t>
      </w:r>
      <w:r>
        <w:rPr>
          <w:b/>
          <w:color w:val="404040"/>
          <w:spacing w:val="-1"/>
        </w:rPr>
        <w:t> </w:t>
      </w:r>
      <w:r>
        <w:rPr>
          <w:b/>
          <w:color w:val="404040"/>
        </w:rPr>
        <w:t>diminuzione</w:t>
      </w:r>
      <w:r>
        <w:rPr>
          <w:b/>
          <w:color w:val="404040"/>
          <w:spacing w:val="-3"/>
        </w:rPr>
        <w:t> </w:t>
      </w:r>
      <w:r>
        <w:rPr>
          <w:b/>
          <w:color w:val="404040"/>
        </w:rPr>
        <w:t>dei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salari</w:t>
      </w:r>
      <w:r>
        <w:rPr>
          <w:b/>
          <w:color w:val="404040"/>
          <w:spacing w:val="1"/>
        </w:rPr>
        <w:t> </w:t>
      </w:r>
      <w:r>
        <w:rPr>
          <w:color w:val="404040"/>
        </w:rPr>
        <w:t>(-0,1% annuo</w:t>
      </w:r>
      <w:r>
        <w:rPr>
          <w:color w:val="404040"/>
          <w:spacing w:val="-1"/>
        </w:rPr>
        <w:t> </w:t>
      </w:r>
      <w:r>
        <w:rPr>
          <w:color w:val="404040"/>
        </w:rPr>
        <w:t>tra</w:t>
      </w:r>
      <w:r>
        <w:rPr>
          <w:color w:val="404040"/>
          <w:spacing w:val="-2"/>
        </w:rPr>
        <w:t> </w:t>
      </w:r>
      <w:r>
        <w:rPr>
          <w:color w:val="404040"/>
        </w:rPr>
        <w:t>1990</w:t>
      </w:r>
      <w:r>
        <w:rPr>
          <w:color w:val="404040"/>
          <w:spacing w:val="-1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2020).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Heading1"/>
        <w:jc w:val="both"/>
      </w:pPr>
      <w:r>
        <w:rPr>
          <w:color w:val="404040"/>
          <w:u w:val="single" w:color="404040"/>
        </w:rPr>
        <w:t>Le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dinamiche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demografiche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spacing w:before="56"/>
        <w:ind w:left="118" w:right="114"/>
        <w:jc w:val="both"/>
      </w:pPr>
      <w:r>
        <w:rPr>
          <w:b/>
          <w:color w:val="404040"/>
        </w:rPr>
        <w:t>Mercato del lavoro </w:t>
      </w:r>
      <w:r>
        <w:rPr>
          <w:color w:val="404040"/>
        </w:rPr>
        <w:t>e </w:t>
      </w:r>
      <w:r>
        <w:rPr>
          <w:b/>
          <w:color w:val="404040"/>
        </w:rPr>
        <w:t>dinamiche demografiche </w:t>
      </w:r>
      <w:r>
        <w:rPr>
          <w:color w:val="404040"/>
        </w:rPr>
        <w:t>sono le due funzioni chiave di un sistema di welfare.</w:t>
      </w:r>
      <w:r>
        <w:rPr>
          <w:color w:val="404040"/>
          <w:spacing w:val="1"/>
        </w:rPr>
        <w:t> </w:t>
      </w:r>
      <w:r>
        <w:rPr>
          <w:color w:val="404040"/>
        </w:rPr>
        <w:t>Dopo aver approfondito il tema del lavoro nell’edizione passata, nel 2022 il Think Tank “Welfare,</w:t>
      </w:r>
      <w:r>
        <w:rPr>
          <w:color w:val="404040"/>
          <w:spacing w:val="1"/>
        </w:rPr>
        <w:t> </w:t>
      </w:r>
      <w:r>
        <w:rPr>
          <w:color w:val="404040"/>
        </w:rPr>
        <w:t>Italia” si è focalizzato sull’ambito demografico, analizzandone le dinamiche, le cause, gli impatti, e le</w:t>
      </w:r>
      <w:r>
        <w:rPr>
          <w:color w:val="404040"/>
          <w:spacing w:val="1"/>
        </w:rPr>
        <w:t> </w:t>
      </w:r>
      <w:r>
        <w:rPr>
          <w:color w:val="404040"/>
        </w:rPr>
        <w:t>possibili</w:t>
      </w:r>
      <w:r>
        <w:rPr>
          <w:color w:val="404040"/>
          <w:spacing w:val="-1"/>
        </w:rPr>
        <w:t> </w:t>
      </w:r>
      <w:r>
        <w:rPr>
          <w:color w:val="404040"/>
        </w:rPr>
        <w:t>strategie d’azione.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8" w:right="113"/>
        <w:jc w:val="both"/>
      </w:pPr>
      <w:r>
        <w:rPr>
          <w:color w:val="404040"/>
        </w:rPr>
        <w:t>Nel 2021, per la prima volta nella storia italiana, il </w:t>
      </w:r>
      <w:r>
        <w:rPr>
          <w:b/>
          <w:color w:val="404040"/>
        </w:rPr>
        <w:t>numero di nati è sceso sotto la soglia dei 400mila</w:t>
      </w:r>
      <w:r>
        <w:rPr>
          <w:b/>
          <w:color w:val="404040"/>
          <w:spacing w:val="1"/>
        </w:rPr>
        <w:t> </w:t>
      </w:r>
      <w:r>
        <w:rPr>
          <w:color w:val="404040"/>
        </w:rPr>
        <w:t>(attestandosi a 399mila), contribuendo a un saldo naturale</w:t>
      </w:r>
      <w:r>
        <w:rPr>
          <w:color w:val="404040"/>
          <w:spacing w:val="49"/>
        </w:rPr>
        <w:t> </w:t>
      </w:r>
      <w:r>
        <w:rPr>
          <w:color w:val="404040"/>
        </w:rPr>
        <w:t>negativo di 214mila persone. Già nel</w:t>
      </w:r>
      <w:r>
        <w:rPr>
          <w:color w:val="404040"/>
          <w:spacing w:val="1"/>
        </w:rPr>
        <w:t> </w:t>
      </w:r>
      <w:r>
        <w:rPr>
          <w:color w:val="404040"/>
        </w:rPr>
        <w:t>2020, soprattutto a causa della pandemia da COVID-19, si era registrato un saldo naturale negativo di</w:t>
      </w:r>
      <w:r>
        <w:rPr>
          <w:color w:val="404040"/>
          <w:spacing w:val="-47"/>
        </w:rPr>
        <w:t> </w:t>
      </w:r>
      <w:r>
        <w:rPr>
          <w:color w:val="404040"/>
        </w:rPr>
        <w:t>335mila</w:t>
      </w:r>
      <w:r>
        <w:rPr>
          <w:color w:val="404040"/>
          <w:spacing w:val="-4"/>
        </w:rPr>
        <w:t> </w:t>
      </w:r>
      <w:r>
        <w:rPr>
          <w:color w:val="404040"/>
        </w:rPr>
        <w:t>persone, il</w:t>
      </w:r>
      <w:r>
        <w:rPr>
          <w:color w:val="404040"/>
          <w:spacing w:val="-4"/>
        </w:rPr>
        <w:t> </w:t>
      </w:r>
      <w:r>
        <w:rPr>
          <w:color w:val="404040"/>
        </w:rPr>
        <w:t>peggiore</w:t>
      </w:r>
      <w:r>
        <w:rPr>
          <w:color w:val="404040"/>
          <w:spacing w:val="1"/>
        </w:rPr>
        <w:t> </w:t>
      </w:r>
      <w:r>
        <w:rPr>
          <w:color w:val="404040"/>
        </w:rPr>
        <w:t>dal 1918 (anno</w:t>
      </w:r>
      <w:r>
        <w:rPr>
          <w:color w:val="404040"/>
          <w:spacing w:val="1"/>
        </w:rPr>
        <w:t> </w:t>
      </w:r>
      <w:r>
        <w:rPr>
          <w:color w:val="404040"/>
        </w:rPr>
        <w:t>dell’epidemia di</w:t>
      </w:r>
      <w:r>
        <w:rPr>
          <w:color w:val="404040"/>
          <w:spacing w:val="-4"/>
        </w:rPr>
        <w:t> </w:t>
      </w:r>
      <w:r>
        <w:rPr>
          <w:color w:val="404040"/>
        </w:rPr>
        <w:t>“spagnola”).</w:t>
      </w:r>
    </w:p>
    <w:p>
      <w:pPr>
        <w:spacing w:after="0"/>
        <w:jc w:val="both"/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spacing w:line="240" w:lineRule="auto" w:before="57"/>
        <w:ind w:left="118" w:right="113" w:firstLine="0"/>
        <w:jc w:val="both"/>
        <w:rPr>
          <w:sz w:val="22"/>
        </w:rPr>
      </w:pPr>
      <w:r>
        <w:rPr>
          <w:color w:val="404040"/>
          <w:sz w:val="22"/>
        </w:rPr>
        <w:t>Il riflesso di questo andamento è il </w:t>
      </w:r>
      <w:r>
        <w:rPr>
          <w:b/>
          <w:color w:val="404040"/>
          <w:sz w:val="22"/>
        </w:rPr>
        <w:t>tasso di natalità</w:t>
      </w:r>
      <w:r>
        <w:rPr>
          <w:color w:val="404040"/>
          <w:sz w:val="22"/>
        </w:rPr>
        <w:t>, che in Italia è pari a </w:t>
      </w:r>
      <w:r>
        <w:rPr>
          <w:b/>
          <w:color w:val="404040"/>
          <w:sz w:val="22"/>
        </w:rPr>
        <w:t>6,8 nati per mille abitanti</w:t>
      </w:r>
      <w:r>
        <w:rPr>
          <w:color w:val="404040"/>
          <w:sz w:val="22"/>
        </w:rPr>
        <w:t>, </w:t>
      </w:r>
      <w:r>
        <w:rPr>
          <w:b/>
          <w:color w:val="404040"/>
          <w:sz w:val="22"/>
        </w:rPr>
        <w:t>il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valore più basso nell’intera Unione Europea</w:t>
      </w:r>
      <w:r>
        <w:rPr>
          <w:color w:val="404040"/>
          <w:sz w:val="22"/>
        </w:rPr>
        <w:t>, con un gap di 2,3 nati dalla media europea (9,1 nati) 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 4,8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dal Paese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best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performer (l’Irlanda,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con 11,6). Di conseguenza,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l’Italia registra il tasso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dipendenza degli anziani più alto nell’UE-27 (</w:t>
      </w:r>
      <w:r>
        <w:rPr>
          <w:b/>
          <w:color w:val="404040"/>
          <w:sz w:val="22"/>
        </w:rPr>
        <w:t>40,1 over-65 per 100 persone nella fascia 20-64 anni</w:t>
      </w:r>
      <w:r>
        <w:rPr>
          <w:color w:val="404040"/>
          <w:sz w:val="22"/>
        </w:rPr>
        <w:t>),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dietro solo alla Finlandia (40,3%) e con un valore superiore alla media europea (35,4%) di 4,7 punti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percentuali.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0"/>
          <w:numId w:val="2"/>
        </w:numPr>
        <w:tabs>
          <w:tab w:pos="827" w:val="left" w:leader="none"/>
        </w:tabs>
        <w:spacing w:line="240" w:lineRule="auto" w:before="0" w:after="0"/>
        <w:ind w:left="837" w:right="112" w:hanging="360"/>
        <w:jc w:val="left"/>
      </w:pPr>
      <w:r>
        <w:rPr>
          <w:color w:val="404040"/>
        </w:rPr>
        <w:t>Fuga</w:t>
      </w:r>
      <w:r>
        <w:rPr>
          <w:color w:val="404040"/>
          <w:spacing w:val="7"/>
        </w:rPr>
        <w:t> </w:t>
      </w:r>
      <w:r>
        <w:rPr>
          <w:color w:val="404040"/>
        </w:rPr>
        <w:t>di</w:t>
      </w:r>
      <w:r>
        <w:rPr>
          <w:color w:val="404040"/>
          <w:spacing w:val="6"/>
        </w:rPr>
        <w:t> </w:t>
      </w:r>
      <w:r>
        <w:rPr>
          <w:color w:val="404040"/>
        </w:rPr>
        <w:t>cervelli</w:t>
      </w:r>
      <w:r>
        <w:rPr>
          <w:color w:val="404040"/>
          <w:spacing w:val="9"/>
        </w:rPr>
        <w:t> </w:t>
      </w:r>
      <w:r>
        <w:rPr>
          <w:color w:val="404040"/>
        </w:rPr>
        <w:t>…e</w:t>
      </w:r>
      <w:r>
        <w:rPr>
          <w:color w:val="404040"/>
          <w:spacing w:val="7"/>
        </w:rPr>
        <w:t> </w:t>
      </w:r>
      <w:r>
        <w:rPr>
          <w:color w:val="404040"/>
        </w:rPr>
        <w:t>non</w:t>
      </w:r>
      <w:r>
        <w:rPr>
          <w:color w:val="404040"/>
          <w:spacing w:val="7"/>
        </w:rPr>
        <w:t> </w:t>
      </w:r>
      <w:r>
        <w:rPr>
          <w:color w:val="404040"/>
        </w:rPr>
        <w:t>ritorno:</w:t>
      </w:r>
      <w:r>
        <w:rPr>
          <w:color w:val="404040"/>
          <w:spacing w:val="7"/>
        </w:rPr>
        <w:t> </w:t>
      </w:r>
      <w:r>
        <w:rPr>
          <w:color w:val="404040"/>
        </w:rPr>
        <w:t>l’Italia</w:t>
      </w:r>
      <w:r>
        <w:rPr>
          <w:color w:val="404040"/>
          <w:spacing w:val="7"/>
        </w:rPr>
        <w:t> </w:t>
      </w:r>
      <w:r>
        <w:rPr>
          <w:color w:val="404040"/>
        </w:rPr>
        <w:t>perderà</w:t>
      </w:r>
      <w:r>
        <w:rPr>
          <w:color w:val="404040"/>
          <w:spacing w:val="4"/>
        </w:rPr>
        <w:t> </w:t>
      </w:r>
      <w:r>
        <w:rPr>
          <w:color w:val="404040"/>
        </w:rPr>
        <w:t>147</w:t>
      </w:r>
      <w:r>
        <w:rPr>
          <w:color w:val="404040"/>
          <w:spacing w:val="6"/>
        </w:rPr>
        <w:t> </w:t>
      </w:r>
      <w:r>
        <w:rPr>
          <w:color w:val="404040"/>
        </w:rPr>
        <w:t>miliardi</w:t>
      </w:r>
      <w:r>
        <w:rPr>
          <w:color w:val="404040"/>
          <w:spacing w:val="6"/>
        </w:rPr>
        <w:t> </w:t>
      </w:r>
      <w:r>
        <w:rPr>
          <w:color w:val="404040"/>
        </w:rPr>
        <w:t>di</w:t>
      </w:r>
      <w:r>
        <w:rPr>
          <w:color w:val="404040"/>
          <w:spacing w:val="9"/>
        </w:rPr>
        <w:t> </w:t>
      </w:r>
      <w:r>
        <w:rPr>
          <w:color w:val="404040"/>
        </w:rPr>
        <w:t>euro</w:t>
      </w:r>
      <w:r>
        <w:rPr>
          <w:color w:val="404040"/>
          <w:spacing w:val="7"/>
        </w:rPr>
        <w:t> </w:t>
      </w:r>
      <w:r>
        <w:rPr>
          <w:color w:val="404040"/>
        </w:rPr>
        <w:t>nel</w:t>
      </w:r>
      <w:r>
        <w:rPr>
          <w:color w:val="404040"/>
          <w:spacing w:val="6"/>
        </w:rPr>
        <w:t> </w:t>
      </w:r>
      <w:r>
        <w:rPr>
          <w:color w:val="404040"/>
        </w:rPr>
        <w:t>2055</w:t>
      </w:r>
      <w:r>
        <w:rPr>
          <w:color w:val="404040"/>
          <w:spacing w:val="6"/>
        </w:rPr>
        <w:t> </w:t>
      </w:r>
      <w:r>
        <w:rPr>
          <w:color w:val="404040"/>
        </w:rPr>
        <w:t>se</w:t>
      </w:r>
      <w:r>
        <w:rPr>
          <w:color w:val="404040"/>
          <w:spacing w:val="7"/>
        </w:rPr>
        <w:t> </w:t>
      </w:r>
      <w:r>
        <w:rPr>
          <w:color w:val="404040"/>
        </w:rPr>
        <w:t>gli</w:t>
      </w:r>
      <w:r>
        <w:rPr>
          <w:color w:val="404040"/>
          <w:spacing w:val="9"/>
        </w:rPr>
        <w:t> </w:t>
      </w:r>
      <w:r>
        <w:rPr>
          <w:color w:val="404040"/>
        </w:rPr>
        <w:t>emigrati</w:t>
      </w:r>
      <w:r>
        <w:rPr>
          <w:color w:val="404040"/>
          <w:spacing w:val="1"/>
        </w:rPr>
        <w:t> </w:t>
      </w:r>
      <w:r>
        <w:rPr>
          <w:color w:val="404040"/>
        </w:rPr>
        <w:t>del 2020</w:t>
      </w:r>
      <w:r>
        <w:rPr>
          <w:color w:val="404040"/>
          <w:spacing w:val="1"/>
        </w:rPr>
        <w:t> </w:t>
      </w:r>
      <w:r>
        <w:rPr>
          <w:color w:val="404040"/>
        </w:rPr>
        <w:t>non</w:t>
      </w:r>
      <w:r>
        <w:rPr>
          <w:color w:val="404040"/>
          <w:spacing w:val="-1"/>
        </w:rPr>
        <w:t> </w:t>
      </w:r>
      <w:r>
        <w:rPr>
          <w:color w:val="404040"/>
        </w:rPr>
        <w:t>tornassero</w:t>
      </w:r>
      <w:r>
        <w:rPr>
          <w:color w:val="404040"/>
          <w:spacing w:val="-3"/>
        </w:rPr>
        <w:t> </w:t>
      </w:r>
      <w:r>
        <w:rPr>
          <w:color w:val="404040"/>
        </w:rPr>
        <w:t>in</w:t>
      </w:r>
      <w:r>
        <w:rPr>
          <w:color w:val="404040"/>
          <w:spacing w:val="-3"/>
        </w:rPr>
        <w:t> </w:t>
      </w:r>
      <w:r>
        <w:rPr>
          <w:color w:val="404040"/>
        </w:rPr>
        <w:t>“patria” durante</w:t>
      </w:r>
      <w:r>
        <w:rPr>
          <w:color w:val="404040"/>
          <w:spacing w:val="-4"/>
        </w:rPr>
        <w:t> </w:t>
      </w:r>
      <w:r>
        <w:rPr>
          <w:color w:val="404040"/>
        </w:rPr>
        <w:t>la</w:t>
      </w:r>
      <w:r>
        <w:rPr>
          <w:color w:val="404040"/>
          <w:spacing w:val="-1"/>
        </w:rPr>
        <w:t> </w:t>
      </w:r>
      <w:r>
        <w:rPr>
          <w:color w:val="404040"/>
        </w:rPr>
        <w:t>loro</w:t>
      </w:r>
      <w:r>
        <w:rPr>
          <w:color w:val="404040"/>
          <w:spacing w:val="-3"/>
        </w:rPr>
        <w:t> </w:t>
      </w:r>
      <w:r>
        <w:rPr>
          <w:color w:val="404040"/>
        </w:rPr>
        <w:t>vita</w:t>
      </w:r>
      <w:r>
        <w:rPr>
          <w:color w:val="404040"/>
          <w:spacing w:val="-1"/>
        </w:rPr>
        <w:t> </w:t>
      </w:r>
      <w:r>
        <w:rPr>
          <w:color w:val="404040"/>
        </w:rPr>
        <w:t>lavorativa</w:t>
      </w:r>
    </w:p>
    <w:p>
      <w:pPr>
        <w:pStyle w:val="BodyText"/>
        <w:rPr>
          <w:b/>
        </w:rPr>
      </w:pPr>
    </w:p>
    <w:p>
      <w:pPr>
        <w:pStyle w:val="BodyText"/>
        <w:ind w:left="117" w:right="112"/>
        <w:jc w:val="both"/>
      </w:pPr>
      <w:r>
        <w:rPr>
          <w:color w:val="404040"/>
        </w:rPr>
        <w:t>Sul fronte migratorio, tra 2011 e 2020, il saldo è stato positivo e pari a </w:t>
      </w:r>
      <w:r>
        <w:rPr>
          <w:b/>
          <w:color w:val="404040"/>
        </w:rPr>
        <w:t>1,7 milioni di persone </w:t>
      </w:r>
      <w:r>
        <w:rPr>
          <w:color w:val="404040"/>
        </w:rPr>
        <w:t>(il 2,9%</w:t>
      </w:r>
      <w:r>
        <w:rPr>
          <w:color w:val="404040"/>
          <w:spacing w:val="1"/>
        </w:rPr>
        <w:t> </w:t>
      </w:r>
      <w:r>
        <w:rPr>
          <w:color w:val="404040"/>
        </w:rPr>
        <w:t>della popolazione italiana al 2020). Tuttavia, nello stesso periodo, per entrambe le sue componenti -</w:t>
      </w:r>
      <w:r>
        <w:rPr>
          <w:color w:val="404040"/>
          <w:spacing w:val="1"/>
        </w:rPr>
        <w:t> </w:t>
      </w:r>
      <w:r>
        <w:rPr>
          <w:color w:val="404040"/>
        </w:rPr>
        <w:t>emigrazione ed immigrazione - l’Italia riporta dei trend rispettivamente in aumento e in calo: il</w:t>
      </w:r>
      <w:r>
        <w:rPr>
          <w:color w:val="404040"/>
          <w:spacing w:val="1"/>
        </w:rPr>
        <w:t> </w:t>
      </w:r>
      <w:r>
        <w:rPr>
          <w:color w:val="404040"/>
        </w:rPr>
        <w:t>numero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emigrati</w:t>
      </w:r>
      <w:r>
        <w:rPr>
          <w:color w:val="404040"/>
          <w:spacing w:val="1"/>
        </w:rPr>
        <w:t> </w:t>
      </w:r>
      <w:r>
        <w:rPr>
          <w:color w:val="404040"/>
        </w:rPr>
        <w:t>è</w:t>
      </w:r>
      <w:r>
        <w:rPr>
          <w:color w:val="404040"/>
          <w:spacing w:val="1"/>
        </w:rPr>
        <w:t> </w:t>
      </w:r>
      <w:r>
        <w:rPr>
          <w:color w:val="404040"/>
        </w:rPr>
        <w:t>aumentato</w:t>
      </w:r>
      <w:r>
        <w:rPr>
          <w:color w:val="404040"/>
          <w:spacing w:val="1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b/>
          <w:color w:val="404040"/>
        </w:rPr>
        <w:t>+93,9%</w:t>
      </w:r>
      <w:r>
        <w:rPr>
          <w:b/>
          <w:color w:val="404040"/>
          <w:spacing w:val="1"/>
        </w:rPr>
        <w:t> </w:t>
      </w:r>
      <w:r>
        <w:rPr>
          <w:color w:val="404040"/>
        </w:rPr>
        <w:t>(7°</w:t>
      </w:r>
      <w:r>
        <w:rPr>
          <w:color w:val="404040"/>
          <w:spacing w:val="1"/>
        </w:rPr>
        <w:t> </w:t>
      </w:r>
      <w:r>
        <w:rPr>
          <w:color w:val="404040"/>
        </w:rPr>
        <w:t>variazione</w:t>
      </w:r>
      <w:r>
        <w:rPr>
          <w:color w:val="404040"/>
          <w:spacing w:val="1"/>
        </w:rPr>
        <w:t> </w:t>
      </w:r>
      <w:r>
        <w:rPr>
          <w:color w:val="404040"/>
        </w:rPr>
        <w:t>a</w:t>
      </w:r>
      <w:r>
        <w:rPr>
          <w:color w:val="404040"/>
          <w:spacing w:val="1"/>
        </w:rPr>
        <w:t> </w:t>
      </w:r>
      <w:r>
        <w:rPr>
          <w:color w:val="404040"/>
        </w:rPr>
        <w:t>livello</w:t>
      </w:r>
      <w:r>
        <w:rPr>
          <w:color w:val="404040"/>
          <w:spacing w:val="1"/>
        </w:rPr>
        <w:t> </w:t>
      </w:r>
      <w:r>
        <w:rPr>
          <w:color w:val="404040"/>
        </w:rPr>
        <w:t>UE),</w:t>
      </w:r>
      <w:r>
        <w:rPr>
          <w:color w:val="404040"/>
          <w:spacing w:val="1"/>
        </w:rPr>
        <w:t> </w:t>
      </w:r>
      <w:r>
        <w:rPr>
          <w:color w:val="404040"/>
        </w:rPr>
        <w:t>mentre</w:t>
      </w:r>
      <w:r>
        <w:rPr>
          <w:color w:val="404040"/>
          <w:spacing w:val="1"/>
        </w:rPr>
        <w:t> </w:t>
      </w:r>
      <w:r>
        <w:rPr>
          <w:color w:val="404040"/>
        </w:rPr>
        <w:t>il</w:t>
      </w:r>
      <w:r>
        <w:rPr>
          <w:color w:val="404040"/>
          <w:spacing w:val="1"/>
        </w:rPr>
        <w:t> </w:t>
      </w:r>
      <w:r>
        <w:rPr>
          <w:color w:val="404040"/>
        </w:rPr>
        <w:t>numero</w:t>
      </w:r>
      <w:r>
        <w:rPr>
          <w:color w:val="404040"/>
          <w:spacing w:val="49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immigrati</w:t>
      </w:r>
      <w:r>
        <w:rPr>
          <w:color w:val="404040"/>
          <w:spacing w:val="-1"/>
        </w:rPr>
        <w:t> </w:t>
      </w:r>
      <w:r>
        <w:rPr>
          <w:color w:val="404040"/>
        </w:rPr>
        <w:t>si</w:t>
      </w:r>
      <w:r>
        <w:rPr>
          <w:color w:val="404040"/>
          <w:spacing w:val="-3"/>
        </w:rPr>
        <w:t> </w:t>
      </w:r>
      <w:r>
        <w:rPr>
          <w:color w:val="404040"/>
        </w:rPr>
        <w:t>è</w:t>
      </w:r>
      <w:r>
        <w:rPr>
          <w:color w:val="404040"/>
          <w:spacing w:val="1"/>
        </w:rPr>
        <w:t> </w:t>
      </w:r>
      <w:r>
        <w:rPr>
          <w:color w:val="404040"/>
        </w:rPr>
        <w:t>ridotto del </w:t>
      </w:r>
      <w:r>
        <w:rPr>
          <w:b/>
          <w:color w:val="404040"/>
        </w:rPr>
        <w:t>-35,8% </w:t>
      </w:r>
      <w:r>
        <w:rPr>
          <w:color w:val="404040"/>
        </w:rPr>
        <w:t>(la peggiore</w:t>
      </w:r>
      <w:r>
        <w:rPr>
          <w:color w:val="404040"/>
          <w:spacing w:val="-3"/>
        </w:rPr>
        <w:t> </w:t>
      </w:r>
      <w:r>
        <w:rPr>
          <w:color w:val="404040"/>
        </w:rPr>
        <w:t>variazione</w:t>
      </w:r>
      <w:r>
        <w:rPr>
          <w:color w:val="404040"/>
          <w:spacing w:val="1"/>
        </w:rPr>
        <w:t> </w:t>
      </w:r>
      <w:r>
        <w:rPr>
          <w:color w:val="404040"/>
        </w:rPr>
        <w:t>in</w:t>
      </w:r>
      <w:r>
        <w:rPr>
          <w:color w:val="404040"/>
          <w:spacing w:val="-1"/>
        </w:rPr>
        <w:t> </w:t>
      </w:r>
      <w:r>
        <w:rPr>
          <w:color w:val="404040"/>
        </w:rPr>
        <w:t>UE).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7" w:right="113"/>
        <w:jc w:val="both"/>
      </w:pPr>
      <w:r>
        <w:rPr>
          <w:color w:val="404040"/>
        </w:rPr>
        <w:t>Un aspetto critico riguarda il Capitale Umano perso (e non recuperato) dal Paese: dei 121mila italiani</w:t>
      </w:r>
      <w:r>
        <w:rPr>
          <w:color w:val="404040"/>
          <w:spacing w:val="1"/>
        </w:rPr>
        <w:t> </w:t>
      </w:r>
      <w:r>
        <w:rPr>
          <w:color w:val="404040"/>
        </w:rPr>
        <w:t>che hanno lasciato l’Italia nel 2020, il </w:t>
      </w:r>
      <w:r>
        <w:rPr>
          <w:b/>
          <w:color w:val="404040"/>
        </w:rPr>
        <w:t>26% </w:t>
      </w:r>
      <w:r>
        <w:rPr>
          <w:color w:val="404040"/>
        </w:rPr>
        <w:t>(circa 31mila persone) possedeva la laurea o un titolo di</w:t>
      </w:r>
      <w:r>
        <w:rPr>
          <w:color w:val="404040"/>
          <w:spacing w:val="1"/>
        </w:rPr>
        <w:t> </w:t>
      </w:r>
      <w:r>
        <w:rPr>
          <w:color w:val="404040"/>
        </w:rPr>
        <w:t>studio superiore e, allo stesso tempo, la percentuale di laureati stranieri nel Paese (13,3%) è la più</w:t>
      </w:r>
      <w:r>
        <w:rPr>
          <w:color w:val="404040"/>
          <w:spacing w:val="1"/>
        </w:rPr>
        <w:t> </w:t>
      </w:r>
      <w:r>
        <w:rPr>
          <w:color w:val="404040"/>
        </w:rPr>
        <w:t>bassa</w:t>
      </w:r>
      <w:r>
        <w:rPr>
          <w:color w:val="404040"/>
          <w:spacing w:val="-1"/>
        </w:rPr>
        <w:t> </w:t>
      </w:r>
      <w:r>
        <w:rPr>
          <w:color w:val="404040"/>
        </w:rPr>
        <w:t>nell’intera</w:t>
      </w:r>
      <w:r>
        <w:rPr>
          <w:color w:val="404040"/>
          <w:spacing w:val="-2"/>
        </w:rPr>
        <w:t> </w:t>
      </w:r>
      <w:r>
        <w:rPr>
          <w:color w:val="404040"/>
        </w:rPr>
        <w:t>area</w:t>
      </w:r>
      <w:r>
        <w:rPr>
          <w:color w:val="404040"/>
          <w:spacing w:val="-2"/>
        </w:rPr>
        <w:t> </w:t>
      </w:r>
      <w:r>
        <w:rPr>
          <w:color w:val="404040"/>
        </w:rPr>
        <w:t>OCSE</w:t>
      </w:r>
      <w:r>
        <w:rPr>
          <w:color w:val="404040"/>
          <w:spacing w:val="-2"/>
        </w:rPr>
        <w:t> </w:t>
      </w:r>
      <w:r>
        <w:rPr>
          <w:color w:val="404040"/>
        </w:rPr>
        <w:t>(media del</w:t>
      </w:r>
      <w:r>
        <w:rPr>
          <w:color w:val="404040"/>
          <w:spacing w:val="-3"/>
        </w:rPr>
        <w:t> </w:t>
      </w:r>
      <w:r>
        <w:rPr>
          <w:color w:val="404040"/>
        </w:rPr>
        <w:t>40,8%).</w:t>
      </w:r>
    </w:p>
    <w:p>
      <w:pPr>
        <w:pStyle w:val="BodyText"/>
        <w:spacing w:before="1"/>
      </w:pPr>
    </w:p>
    <w:p>
      <w:pPr>
        <w:pStyle w:val="BodyText"/>
        <w:ind w:left="118" w:right="113" w:hanging="1"/>
        <w:jc w:val="both"/>
      </w:pPr>
      <w:r>
        <w:rPr>
          <w:color w:val="404040"/>
        </w:rPr>
        <w:t>“Welfare, Italia” ha stimato che se tutti gli emigrati nel 2020 non tornassero in Italia durante la loro</w:t>
      </w:r>
      <w:r>
        <w:rPr>
          <w:color w:val="404040"/>
          <w:spacing w:val="1"/>
        </w:rPr>
        <w:t> </w:t>
      </w:r>
      <w:r>
        <w:rPr>
          <w:color w:val="404040"/>
        </w:rPr>
        <w:t>vita lavorativa, il Paese perderebbe circa </w:t>
      </w:r>
      <w:r>
        <w:rPr>
          <w:b/>
          <w:color w:val="404040"/>
        </w:rPr>
        <w:t>147 miliardi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di euro</w:t>
      </w:r>
      <w:r>
        <w:rPr>
          <w:color w:val="404040"/>
        </w:rPr>
        <w:t>, ovvero</w:t>
      </w:r>
      <w:r>
        <w:rPr>
          <w:color w:val="404040"/>
          <w:spacing w:val="49"/>
        </w:rPr>
        <w:t> </w:t>
      </w:r>
      <w:r>
        <w:rPr>
          <w:color w:val="404040"/>
        </w:rPr>
        <w:t>la somma tra il costo della</w:t>
      </w:r>
      <w:r>
        <w:rPr>
          <w:color w:val="404040"/>
          <w:spacing w:val="1"/>
        </w:rPr>
        <w:t> </w:t>
      </w:r>
      <w:r>
        <w:rPr>
          <w:color w:val="404040"/>
        </w:rPr>
        <w:t>spesa in istruzione perso, pari a </w:t>
      </w:r>
      <w:r>
        <w:rPr>
          <w:b/>
          <w:color w:val="404040"/>
        </w:rPr>
        <w:t>10,5 miliardi di euro</w:t>
      </w:r>
      <w:r>
        <w:rPr>
          <w:color w:val="404040"/>
        </w:rPr>
        <w:t>, e i mancati redditi guadagnati dagli emigrati nel</w:t>
      </w:r>
      <w:r>
        <w:rPr>
          <w:color w:val="404040"/>
          <w:spacing w:val="-47"/>
        </w:rPr>
        <w:t> </w:t>
      </w:r>
      <w:r>
        <w:rPr>
          <w:color w:val="404040"/>
        </w:rPr>
        <w:t>corso</w:t>
      </w:r>
      <w:r>
        <w:rPr>
          <w:color w:val="404040"/>
          <w:spacing w:val="-1"/>
        </w:rPr>
        <w:t> </w:t>
      </w:r>
      <w:r>
        <w:rPr>
          <w:color w:val="404040"/>
        </w:rPr>
        <w:t>della</w:t>
      </w:r>
      <w:r>
        <w:rPr>
          <w:color w:val="404040"/>
          <w:spacing w:val="-4"/>
        </w:rPr>
        <w:t> </w:t>
      </w:r>
      <w:r>
        <w:rPr>
          <w:color w:val="404040"/>
        </w:rPr>
        <w:t>loro</w:t>
      </w:r>
      <w:r>
        <w:rPr>
          <w:color w:val="404040"/>
          <w:spacing w:val="-2"/>
        </w:rPr>
        <w:t> </w:t>
      </w:r>
      <w:r>
        <w:rPr>
          <w:color w:val="404040"/>
        </w:rPr>
        <w:t>vita</w:t>
      </w:r>
      <w:r>
        <w:rPr>
          <w:color w:val="404040"/>
          <w:spacing w:val="-1"/>
        </w:rPr>
        <w:t> </w:t>
      </w:r>
      <w:r>
        <w:rPr>
          <w:color w:val="404040"/>
        </w:rPr>
        <w:t>lavorativa</w:t>
      </w:r>
      <w:r>
        <w:rPr>
          <w:color w:val="404040"/>
          <w:spacing w:val="-1"/>
        </w:rPr>
        <w:t> </w:t>
      </w:r>
      <w:r>
        <w:rPr>
          <w:color w:val="404040"/>
        </w:rPr>
        <w:t>all’estero (stimata</w:t>
      </w:r>
      <w:r>
        <w:rPr>
          <w:color w:val="404040"/>
          <w:spacing w:val="-2"/>
        </w:rPr>
        <w:t> </w:t>
      </w:r>
      <w:r>
        <w:rPr>
          <w:color w:val="404040"/>
        </w:rPr>
        <w:t>in</w:t>
      </w:r>
      <w:r>
        <w:rPr>
          <w:color w:val="404040"/>
          <w:spacing w:val="-4"/>
        </w:rPr>
        <w:t> </w:t>
      </w:r>
      <w:r>
        <w:rPr>
          <w:color w:val="404040"/>
        </w:rPr>
        <w:t>circa</w:t>
      </w:r>
      <w:r>
        <w:rPr>
          <w:color w:val="404040"/>
          <w:spacing w:val="-1"/>
        </w:rPr>
        <w:t> </w:t>
      </w:r>
      <w:r>
        <w:rPr>
          <w:color w:val="404040"/>
        </w:rPr>
        <w:t>35 anni),</w:t>
      </w:r>
      <w:r>
        <w:rPr>
          <w:color w:val="404040"/>
          <w:spacing w:val="-1"/>
        </w:rPr>
        <w:t> </w:t>
      </w:r>
      <w:r>
        <w:rPr>
          <w:color w:val="404040"/>
        </w:rPr>
        <w:t>pari</w:t>
      </w:r>
      <w:r>
        <w:rPr>
          <w:color w:val="404040"/>
          <w:spacing w:val="-3"/>
        </w:rPr>
        <w:t> </w:t>
      </w:r>
      <w:r>
        <w:rPr>
          <w:color w:val="404040"/>
        </w:rPr>
        <w:t>a</w:t>
      </w:r>
      <w:r>
        <w:rPr>
          <w:color w:val="404040"/>
          <w:spacing w:val="-1"/>
        </w:rPr>
        <w:t> </w:t>
      </w:r>
      <w:r>
        <w:rPr>
          <w:b/>
          <w:color w:val="404040"/>
        </w:rPr>
        <w:t>136,5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miliardi</w:t>
      </w:r>
      <w:r>
        <w:rPr>
          <w:b/>
          <w:color w:val="404040"/>
          <w:spacing w:val="-3"/>
        </w:rPr>
        <w:t> </w:t>
      </w:r>
      <w:r>
        <w:rPr>
          <w:b/>
          <w:color w:val="404040"/>
        </w:rPr>
        <w:t>di euro</w:t>
      </w:r>
      <w:r>
        <w:rPr>
          <w:color w:val="404040"/>
        </w:rPr>
        <w:t>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0"/>
          <w:numId w:val="2"/>
        </w:numPr>
        <w:tabs>
          <w:tab w:pos="827" w:val="left" w:leader="none"/>
        </w:tabs>
        <w:spacing w:line="240" w:lineRule="auto" w:before="0" w:after="0"/>
        <w:ind w:left="826" w:right="0" w:hanging="349"/>
        <w:jc w:val="left"/>
      </w:pPr>
      <w:r>
        <w:rPr>
          <w:color w:val="404040"/>
        </w:rPr>
        <w:t>Al</w:t>
      </w:r>
      <w:r>
        <w:rPr>
          <w:color w:val="404040"/>
          <w:spacing w:val="-3"/>
        </w:rPr>
        <w:t> </w:t>
      </w:r>
      <w:r>
        <w:rPr>
          <w:color w:val="404040"/>
        </w:rPr>
        <w:t>2050</w:t>
      </w:r>
      <w:r>
        <w:rPr>
          <w:color w:val="404040"/>
          <w:spacing w:val="-3"/>
        </w:rPr>
        <w:t> </w:t>
      </w:r>
      <w:r>
        <w:rPr>
          <w:color w:val="404040"/>
        </w:rPr>
        <w:t>la</w:t>
      </w:r>
      <w:r>
        <w:rPr>
          <w:color w:val="404040"/>
          <w:spacing w:val="-3"/>
        </w:rPr>
        <w:t> </w:t>
      </w:r>
      <w:r>
        <w:rPr>
          <w:color w:val="404040"/>
        </w:rPr>
        <w:t>popolazione</w:t>
      </w:r>
      <w:r>
        <w:rPr>
          <w:color w:val="404040"/>
          <w:spacing w:val="-4"/>
        </w:rPr>
        <w:t> </w:t>
      </w:r>
      <w:r>
        <w:rPr>
          <w:color w:val="404040"/>
        </w:rPr>
        <w:t>italiana</w:t>
      </w:r>
      <w:r>
        <w:rPr>
          <w:color w:val="404040"/>
          <w:spacing w:val="-3"/>
        </w:rPr>
        <w:t> </w:t>
      </w:r>
      <w:r>
        <w:rPr>
          <w:color w:val="404040"/>
        </w:rPr>
        <w:t>potrebbe</w:t>
      </w:r>
      <w:r>
        <w:rPr>
          <w:color w:val="404040"/>
          <w:spacing w:val="-2"/>
        </w:rPr>
        <w:t> </w:t>
      </w:r>
      <w:r>
        <w:rPr>
          <w:color w:val="404040"/>
        </w:rPr>
        <w:t>perdere</w:t>
      </w:r>
      <w:r>
        <w:rPr>
          <w:color w:val="404040"/>
          <w:spacing w:val="-2"/>
        </w:rPr>
        <w:t> </w:t>
      </w:r>
      <w:r>
        <w:rPr>
          <w:color w:val="404040"/>
        </w:rPr>
        <w:t>10,5</w:t>
      </w:r>
      <w:r>
        <w:rPr>
          <w:color w:val="404040"/>
          <w:spacing w:val="-1"/>
        </w:rPr>
        <w:t> </w:t>
      </w:r>
      <w:r>
        <w:rPr>
          <w:color w:val="404040"/>
        </w:rPr>
        <w:t>milioni</w:t>
      </w:r>
      <w:r>
        <w:rPr>
          <w:color w:val="404040"/>
          <w:spacing w:val="-1"/>
        </w:rPr>
        <w:t> </w:t>
      </w:r>
      <w:r>
        <w:rPr>
          <w:color w:val="404040"/>
        </w:rPr>
        <w:t>di</w:t>
      </w:r>
      <w:r>
        <w:rPr>
          <w:color w:val="404040"/>
          <w:spacing w:val="-3"/>
        </w:rPr>
        <w:t> </w:t>
      </w:r>
      <w:r>
        <w:rPr>
          <w:color w:val="404040"/>
        </w:rPr>
        <w:t>abitanti</w:t>
      </w:r>
      <w:r>
        <w:rPr>
          <w:color w:val="404040"/>
          <w:spacing w:val="-2"/>
        </w:rPr>
        <w:t> </w:t>
      </w:r>
      <w:r>
        <w:rPr>
          <w:color w:val="404040"/>
        </w:rPr>
        <w:t>rispetto</w:t>
      </w:r>
      <w:r>
        <w:rPr>
          <w:color w:val="404040"/>
          <w:spacing w:val="-3"/>
        </w:rPr>
        <w:t> </w:t>
      </w:r>
      <w:r>
        <w:rPr>
          <w:color w:val="404040"/>
        </w:rPr>
        <w:t>al</w:t>
      </w:r>
      <w:r>
        <w:rPr>
          <w:color w:val="404040"/>
          <w:spacing w:val="-1"/>
        </w:rPr>
        <w:t> </w:t>
      </w:r>
      <w:r>
        <w:rPr>
          <w:color w:val="404040"/>
        </w:rPr>
        <w:t>2020</w:t>
      </w:r>
    </w:p>
    <w:p>
      <w:pPr>
        <w:pStyle w:val="BodyText"/>
        <w:rPr>
          <w:b/>
        </w:rPr>
      </w:pPr>
    </w:p>
    <w:p>
      <w:pPr>
        <w:spacing w:before="0"/>
        <w:ind w:left="117" w:right="110" w:firstLine="0"/>
        <w:jc w:val="both"/>
        <w:rPr>
          <w:b/>
          <w:sz w:val="22"/>
        </w:rPr>
      </w:pPr>
      <w:r>
        <w:rPr>
          <w:color w:val="404040"/>
          <w:sz w:val="22"/>
        </w:rPr>
        <w:t>Ai trend demografici attuali, in assenza di politiche correttive, al 2035 l’Italia perderà il 4,2% della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popolazione rispetto al 2022 (pari a 4,4 milioni di persone in età lavorativa) e dovrà sostenere 3,6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milioni</w:t>
      </w:r>
      <w:r>
        <w:rPr>
          <w:color w:val="404040"/>
          <w:spacing w:val="7"/>
          <w:sz w:val="22"/>
        </w:rPr>
        <w:t> </w:t>
      </w:r>
      <w:r>
        <w:rPr>
          <w:color w:val="404040"/>
          <w:sz w:val="22"/>
        </w:rPr>
        <w:t>di</w:t>
      </w:r>
      <w:r>
        <w:rPr>
          <w:color w:val="404040"/>
          <w:spacing w:val="5"/>
          <w:sz w:val="22"/>
        </w:rPr>
        <w:t> </w:t>
      </w:r>
      <w:r>
        <w:rPr>
          <w:color w:val="404040"/>
          <w:sz w:val="22"/>
        </w:rPr>
        <w:t>over-65</w:t>
      </w:r>
      <w:r>
        <w:rPr>
          <w:color w:val="404040"/>
          <w:spacing w:val="10"/>
          <w:sz w:val="22"/>
        </w:rPr>
        <w:t> </w:t>
      </w:r>
      <w:r>
        <w:rPr>
          <w:color w:val="404040"/>
          <w:sz w:val="22"/>
        </w:rPr>
        <w:t>in</w:t>
      </w:r>
      <w:r>
        <w:rPr>
          <w:color w:val="404040"/>
          <w:spacing w:val="7"/>
          <w:sz w:val="22"/>
        </w:rPr>
        <w:t> </w:t>
      </w:r>
      <w:r>
        <w:rPr>
          <w:color w:val="404040"/>
          <w:sz w:val="22"/>
        </w:rPr>
        <w:t>più</w:t>
      </w:r>
      <w:r>
        <w:rPr>
          <w:color w:val="404040"/>
          <w:spacing w:val="7"/>
          <w:sz w:val="22"/>
        </w:rPr>
        <w:t> </w:t>
      </w:r>
      <w:r>
        <w:rPr>
          <w:color w:val="404040"/>
          <w:sz w:val="22"/>
        </w:rPr>
        <w:t>rispetto</w:t>
      </w:r>
      <w:r>
        <w:rPr>
          <w:color w:val="404040"/>
          <w:spacing w:val="8"/>
          <w:sz w:val="22"/>
        </w:rPr>
        <w:t> </w:t>
      </w:r>
      <w:r>
        <w:rPr>
          <w:color w:val="404040"/>
          <w:sz w:val="22"/>
        </w:rPr>
        <w:t>ai</w:t>
      </w:r>
      <w:r>
        <w:rPr>
          <w:color w:val="404040"/>
          <w:spacing w:val="8"/>
          <w:sz w:val="22"/>
        </w:rPr>
        <w:t> </w:t>
      </w:r>
      <w:r>
        <w:rPr>
          <w:color w:val="404040"/>
          <w:sz w:val="22"/>
        </w:rPr>
        <w:t>livelli</w:t>
      </w:r>
      <w:r>
        <w:rPr>
          <w:color w:val="404040"/>
          <w:spacing w:val="8"/>
          <w:sz w:val="22"/>
        </w:rPr>
        <w:t> </w:t>
      </w:r>
      <w:r>
        <w:rPr>
          <w:color w:val="404040"/>
          <w:sz w:val="22"/>
        </w:rPr>
        <w:t>attuali;</w:t>
      </w:r>
      <w:r>
        <w:rPr>
          <w:color w:val="404040"/>
          <w:spacing w:val="9"/>
          <w:sz w:val="22"/>
        </w:rPr>
        <w:t> </w:t>
      </w:r>
      <w:r>
        <w:rPr>
          <w:color w:val="404040"/>
          <w:sz w:val="22"/>
        </w:rPr>
        <w:t>al</w:t>
      </w:r>
      <w:r>
        <w:rPr>
          <w:color w:val="404040"/>
          <w:spacing w:val="5"/>
          <w:sz w:val="22"/>
        </w:rPr>
        <w:t> </w:t>
      </w:r>
      <w:r>
        <w:rPr>
          <w:b/>
          <w:color w:val="404040"/>
          <w:sz w:val="22"/>
        </w:rPr>
        <w:t>2050</w:t>
      </w:r>
      <w:r>
        <w:rPr>
          <w:color w:val="404040"/>
          <w:sz w:val="22"/>
        </w:rPr>
        <w:t>,</w:t>
      </w:r>
      <w:r>
        <w:rPr>
          <w:color w:val="404040"/>
          <w:spacing w:val="9"/>
          <w:sz w:val="22"/>
        </w:rPr>
        <w:t> </w:t>
      </w:r>
      <w:r>
        <w:rPr>
          <w:color w:val="404040"/>
          <w:sz w:val="22"/>
        </w:rPr>
        <w:t>nello</w:t>
      </w:r>
      <w:r>
        <w:rPr>
          <w:color w:val="404040"/>
          <w:spacing w:val="9"/>
          <w:sz w:val="22"/>
        </w:rPr>
        <w:t> </w:t>
      </w:r>
      <w:r>
        <w:rPr>
          <w:color w:val="404040"/>
          <w:sz w:val="22"/>
        </w:rPr>
        <w:t>scenario</w:t>
      </w:r>
      <w:r>
        <w:rPr>
          <w:color w:val="404040"/>
          <w:spacing w:val="9"/>
          <w:sz w:val="22"/>
        </w:rPr>
        <w:t> </w:t>
      </w:r>
      <w:r>
        <w:rPr>
          <w:color w:val="404040"/>
          <w:sz w:val="22"/>
        </w:rPr>
        <w:t>baseline</w:t>
      </w:r>
      <w:r>
        <w:rPr>
          <w:color w:val="404040"/>
          <w:spacing w:val="7"/>
          <w:sz w:val="22"/>
        </w:rPr>
        <w:t> </w:t>
      </w:r>
      <w:r>
        <w:rPr>
          <w:color w:val="404040"/>
          <w:sz w:val="22"/>
        </w:rPr>
        <w:t>delle</w:t>
      </w:r>
      <w:r>
        <w:rPr>
          <w:color w:val="404040"/>
          <w:spacing w:val="8"/>
          <w:sz w:val="22"/>
        </w:rPr>
        <w:t> </w:t>
      </w:r>
      <w:r>
        <w:rPr>
          <w:color w:val="404040"/>
          <w:sz w:val="22"/>
        </w:rPr>
        <w:t>Nazioni</w:t>
      </w:r>
      <w:r>
        <w:rPr>
          <w:color w:val="404040"/>
          <w:spacing w:val="8"/>
          <w:sz w:val="22"/>
        </w:rPr>
        <w:t> </w:t>
      </w:r>
      <w:r>
        <w:rPr>
          <w:color w:val="404040"/>
          <w:sz w:val="22"/>
        </w:rPr>
        <w:t>Unite,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la popolazione italiana potrebbe attestarsi a 52,3 milioni di persone – 6,7 milioni in meno del 2020 –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con un’incidenza degli over-65 pari al </w:t>
      </w:r>
      <w:r>
        <w:rPr>
          <w:b/>
          <w:color w:val="404040"/>
          <w:sz w:val="22"/>
        </w:rPr>
        <w:t>37% </w:t>
      </w:r>
      <w:r>
        <w:rPr>
          <w:color w:val="404040"/>
          <w:sz w:val="22"/>
        </w:rPr>
        <w:t>del totale. </w:t>
      </w:r>
      <w:r>
        <w:rPr>
          <w:b/>
          <w:color w:val="404040"/>
          <w:sz w:val="22"/>
        </w:rPr>
        <w:t>Considerando invece lo scenario peggiore, la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diminuzione della popolazione rispetto ai livelli del 2020 potrebbe essere pari a 10,5 milioni in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meno</w:t>
      </w:r>
      <w:r>
        <w:rPr>
          <w:b/>
          <w:color w:val="404040"/>
          <w:spacing w:val="-2"/>
          <w:sz w:val="22"/>
        </w:rPr>
        <w:t> </w:t>
      </w:r>
      <w:r>
        <w:rPr>
          <w:b/>
          <w:color w:val="404040"/>
          <w:sz w:val="22"/>
        </w:rPr>
        <w:t>nel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2050.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118" w:right="112"/>
        <w:jc w:val="both"/>
      </w:pP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b/>
          <w:color w:val="404040"/>
        </w:rPr>
        <w:t>diminuzione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della base lavorativa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l’</w:t>
      </w:r>
      <w:r>
        <w:rPr>
          <w:b/>
          <w:color w:val="404040"/>
        </w:rPr>
        <w:t>aumento della popolazione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anziana </w:t>
      </w:r>
      <w:r>
        <w:rPr>
          <w:color w:val="404040"/>
        </w:rPr>
        <w:t>metteranno</w:t>
      </w:r>
      <w:r>
        <w:rPr>
          <w:color w:val="404040"/>
          <w:spacing w:val="1"/>
        </w:rPr>
        <w:t> </w:t>
      </w:r>
      <w:r>
        <w:rPr>
          <w:color w:val="404040"/>
        </w:rPr>
        <w:t>ancor</w:t>
      </w:r>
      <w:r>
        <w:rPr>
          <w:color w:val="404040"/>
          <w:spacing w:val="49"/>
        </w:rPr>
        <w:t> </w:t>
      </w:r>
      <w:r>
        <w:rPr>
          <w:color w:val="404040"/>
        </w:rPr>
        <w:t>di</w:t>
      </w:r>
      <w:r>
        <w:rPr>
          <w:color w:val="404040"/>
          <w:spacing w:val="-47"/>
        </w:rPr>
        <w:t> </w:t>
      </w:r>
      <w:r>
        <w:rPr>
          <w:color w:val="404040"/>
        </w:rPr>
        <w:t>più </w:t>
      </w:r>
      <w:r>
        <w:rPr>
          <w:b/>
          <w:color w:val="404040"/>
        </w:rPr>
        <w:t>sotto pressione la sostenibilità </w:t>
      </w:r>
      <w:r>
        <w:rPr>
          <w:color w:val="404040"/>
        </w:rPr>
        <w:t>del sistema di welfare del Paese. In ambito</w:t>
      </w:r>
      <w:r>
        <w:rPr>
          <w:color w:val="404040"/>
          <w:spacing w:val="49"/>
        </w:rPr>
        <w:t> </w:t>
      </w:r>
      <w:r>
        <w:rPr>
          <w:color w:val="404040"/>
        </w:rPr>
        <w:t>pensionistico, nel</w:t>
      </w:r>
      <w:r>
        <w:rPr>
          <w:color w:val="404040"/>
          <w:spacing w:val="1"/>
        </w:rPr>
        <w:t> </w:t>
      </w:r>
      <w:r>
        <w:rPr>
          <w:color w:val="404040"/>
        </w:rPr>
        <w:t>2035 il numero di pensionati supererà per la prima volta quello degli occupati (il rapporto di equilibro</w:t>
      </w:r>
      <w:r>
        <w:rPr>
          <w:color w:val="404040"/>
          <w:spacing w:val="-47"/>
        </w:rPr>
        <w:t> </w:t>
      </w:r>
      <w:r>
        <w:rPr>
          <w:color w:val="404040"/>
        </w:rPr>
        <w:t>dovrebbe</w:t>
      </w:r>
      <w:r>
        <w:rPr>
          <w:color w:val="404040"/>
          <w:spacing w:val="1"/>
        </w:rPr>
        <w:t> </w:t>
      </w:r>
      <w:r>
        <w:rPr>
          <w:color w:val="404040"/>
        </w:rPr>
        <w:t>essere</w:t>
      </w:r>
      <w:r>
        <w:rPr>
          <w:color w:val="404040"/>
          <w:spacing w:val="1"/>
        </w:rPr>
        <w:t> </w:t>
      </w:r>
      <w:r>
        <w:rPr>
          <w:color w:val="404040"/>
        </w:rPr>
        <w:t>3</w:t>
      </w:r>
      <w:r>
        <w:rPr>
          <w:color w:val="404040"/>
          <w:spacing w:val="1"/>
        </w:rPr>
        <w:t> </w:t>
      </w:r>
      <w:r>
        <w:rPr>
          <w:color w:val="404040"/>
        </w:rPr>
        <w:t>lavoratori</w:t>
      </w:r>
      <w:r>
        <w:rPr>
          <w:color w:val="404040"/>
          <w:spacing w:val="1"/>
        </w:rPr>
        <w:t> </w:t>
      </w:r>
      <w:r>
        <w:rPr>
          <w:color w:val="404040"/>
        </w:rPr>
        <w:t>per</w:t>
      </w:r>
      <w:r>
        <w:rPr>
          <w:color w:val="404040"/>
          <w:spacing w:val="1"/>
        </w:rPr>
        <w:t> </w:t>
      </w:r>
      <w:r>
        <w:rPr>
          <w:color w:val="404040"/>
        </w:rPr>
        <w:t>2</w:t>
      </w:r>
      <w:r>
        <w:rPr>
          <w:color w:val="404040"/>
          <w:spacing w:val="1"/>
        </w:rPr>
        <w:t> </w:t>
      </w:r>
      <w:r>
        <w:rPr>
          <w:color w:val="404040"/>
        </w:rPr>
        <w:t>pensionati)</w:t>
      </w:r>
      <w:r>
        <w:rPr>
          <w:color w:val="404040"/>
          <w:spacing w:val="1"/>
        </w:rPr>
        <w:t> </w:t>
      </w:r>
      <w:r>
        <w:rPr>
          <w:color w:val="404040"/>
        </w:rPr>
        <w:t>e,</w:t>
      </w:r>
      <w:r>
        <w:rPr>
          <w:color w:val="404040"/>
          <w:spacing w:val="1"/>
        </w:rPr>
        <w:t> </w:t>
      </w:r>
      <w:r>
        <w:rPr>
          <w:color w:val="404040"/>
        </w:rPr>
        <w:t>nello</w:t>
      </w:r>
      <w:r>
        <w:rPr>
          <w:color w:val="404040"/>
          <w:spacing w:val="1"/>
        </w:rPr>
        <w:t> </w:t>
      </w:r>
      <w:r>
        <w:rPr>
          <w:color w:val="404040"/>
        </w:rPr>
        <w:t>stesso</w:t>
      </w:r>
      <w:r>
        <w:rPr>
          <w:color w:val="404040"/>
          <w:spacing w:val="1"/>
        </w:rPr>
        <w:t> </w:t>
      </w:r>
      <w:r>
        <w:rPr>
          <w:color w:val="404040"/>
        </w:rPr>
        <w:t>anno,</w:t>
      </w:r>
      <w:r>
        <w:rPr>
          <w:color w:val="404040"/>
          <w:spacing w:val="1"/>
        </w:rPr>
        <w:t> </w:t>
      </w:r>
      <w:r>
        <w:rPr>
          <w:color w:val="404040"/>
        </w:rPr>
        <w:t>l’incidenza</w:t>
      </w:r>
      <w:r>
        <w:rPr>
          <w:color w:val="404040"/>
          <w:spacing w:val="1"/>
        </w:rPr>
        <w:t> </w:t>
      </w:r>
      <w:r>
        <w:rPr>
          <w:color w:val="404040"/>
        </w:rPr>
        <w:t>della</w:t>
      </w:r>
      <w:r>
        <w:rPr>
          <w:color w:val="404040"/>
          <w:spacing w:val="1"/>
        </w:rPr>
        <w:t> </w:t>
      </w:r>
      <w:r>
        <w:rPr>
          <w:color w:val="404040"/>
        </w:rPr>
        <w:t>spesa</w:t>
      </w:r>
      <w:r>
        <w:rPr>
          <w:color w:val="404040"/>
          <w:spacing w:val="1"/>
        </w:rPr>
        <w:t> </w:t>
      </w:r>
      <w:r>
        <w:rPr>
          <w:color w:val="404040"/>
        </w:rPr>
        <w:t>previdenziale</w:t>
      </w:r>
      <w:r>
        <w:rPr>
          <w:color w:val="404040"/>
          <w:spacing w:val="1"/>
        </w:rPr>
        <w:t> </w:t>
      </w:r>
      <w:r>
        <w:rPr>
          <w:color w:val="404040"/>
        </w:rPr>
        <w:t>sul</w:t>
      </w:r>
      <w:r>
        <w:rPr>
          <w:color w:val="404040"/>
          <w:spacing w:val="1"/>
        </w:rPr>
        <w:t> </w:t>
      </w:r>
      <w:r>
        <w:rPr>
          <w:color w:val="404040"/>
        </w:rPr>
        <w:t>PIL</w:t>
      </w:r>
      <w:r>
        <w:rPr>
          <w:color w:val="404040"/>
          <w:spacing w:val="1"/>
        </w:rPr>
        <w:t> </w:t>
      </w:r>
      <w:r>
        <w:rPr>
          <w:color w:val="404040"/>
        </w:rPr>
        <w:t>potrebbe</w:t>
      </w:r>
      <w:r>
        <w:rPr>
          <w:color w:val="404040"/>
          <w:spacing w:val="1"/>
        </w:rPr>
        <w:t> </w:t>
      </w:r>
      <w:r>
        <w:rPr>
          <w:color w:val="404040"/>
        </w:rPr>
        <w:t>raggiungere</w:t>
      </w:r>
      <w:r>
        <w:rPr>
          <w:color w:val="404040"/>
          <w:spacing w:val="1"/>
        </w:rPr>
        <w:t> </w:t>
      </w:r>
      <w:r>
        <w:rPr>
          <w:color w:val="404040"/>
        </w:rPr>
        <w:t>il</w:t>
      </w:r>
      <w:r>
        <w:rPr>
          <w:color w:val="404040"/>
          <w:spacing w:val="1"/>
        </w:rPr>
        <w:t> </w:t>
      </w:r>
      <w:r>
        <w:rPr>
          <w:color w:val="404040"/>
        </w:rPr>
        <w:t>picco</w:t>
      </w:r>
      <w:r>
        <w:rPr>
          <w:color w:val="404040"/>
          <w:spacing w:val="1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color w:val="404040"/>
        </w:rPr>
        <w:t>17,5%.</w:t>
      </w:r>
      <w:r>
        <w:rPr>
          <w:color w:val="404040"/>
          <w:spacing w:val="1"/>
        </w:rPr>
        <w:t> </w:t>
      </w:r>
      <w:r>
        <w:rPr>
          <w:color w:val="404040"/>
        </w:rPr>
        <w:t>In</w:t>
      </w:r>
      <w:r>
        <w:rPr>
          <w:color w:val="404040"/>
          <w:spacing w:val="1"/>
        </w:rPr>
        <w:t> </w:t>
      </w:r>
      <w:r>
        <w:rPr>
          <w:color w:val="404040"/>
        </w:rPr>
        <w:t>ambito</w:t>
      </w:r>
      <w:r>
        <w:rPr>
          <w:color w:val="404040"/>
          <w:spacing w:val="1"/>
        </w:rPr>
        <w:t> </w:t>
      </w:r>
      <w:r>
        <w:rPr>
          <w:color w:val="404040"/>
        </w:rPr>
        <w:t>sanitario</w:t>
      </w:r>
      <w:r>
        <w:rPr>
          <w:color w:val="404040"/>
          <w:spacing w:val="1"/>
        </w:rPr>
        <w:t> </w:t>
      </w:r>
      <w:r>
        <w:rPr>
          <w:color w:val="404040"/>
        </w:rPr>
        <w:t>–</w:t>
      </w:r>
      <w:r>
        <w:rPr>
          <w:color w:val="404040"/>
          <w:spacing w:val="1"/>
        </w:rPr>
        <w:t> </w:t>
      </w:r>
      <w:r>
        <w:rPr>
          <w:color w:val="404040"/>
        </w:rPr>
        <w:t>dove</w:t>
      </w:r>
      <w:r>
        <w:rPr>
          <w:color w:val="404040"/>
          <w:spacing w:val="1"/>
        </w:rPr>
        <w:t> </w:t>
      </w:r>
      <w:r>
        <w:rPr>
          <w:color w:val="404040"/>
        </w:rPr>
        <w:t>l’invecchiamento è associato a un aumento delle malattie non trasmissibili e croniche e da una</w:t>
      </w:r>
      <w:r>
        <w:rPr>
          <w:color w:val="404040"/>
          <w:spacing w:val="1"/>
        </w:rPr>
        <w:t> </w:t>
      </w:r>
      <w:r>
        <w:rPr>
          <w:color w:val="404040"/>
        </w:rPr>
        <w:t>maggiore</w:t>
      </w:r>
      <w:r>
        <w:rPr>
          <w:color w:val="404040"/>
          <w:spacing w:val="1"/>
        </w:rPr>
        <w:t> </w:t>
      </w:r>
      <w:r>
        <w:rPr>
          <w:color w:val="404040"/>
        </w:rPr>
        <w:t>pressione</w:t>
      </w:r>
      <w:r>
        <w:rPr>
          <w:color w:val="404040"/>
          <w:spacing w:val="-1"/>
        </w:rPr>
        <w:t> </w:t>
      </w:r>
      <w:r>
        <w:rPr>
          <w:color w:val="404040"/>
        </w:rPr>
        <w:t>sui sistemi</w:t>
      </w:r>
      <w:r>
        <w:rPr>
          <w:color w:val="404040"/>
          <w:spacing w:val="-2"/>
        </w:rPr>
        <w:t> </w:t>
      </w:r>
      <w:r>
        <w:rPr>
          <w:color w:val="404040"/>
        </w:rPr>
        <w:t>sanitari</w:t>
      </w:r>
      <w:r>
        <w:rPr>
          <w:color w:val="404040"/>
          <w:spacing w:val="-2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di assistenza</w:t>
      </w:r>
      <w:r>
        <w:rPr>
          <w:color w:val="404040"/>
          <w:spacing w:val="-2"/>
        </w:rPr>
        <w:t> </w:t>
      </w:r>
      <w:r>
        <w:rPr>
          <w:color w:val="404040"/>
        </w:rPr>
        <w:t>socio-sanitaria</w:t>
      </w:r>
      <w:r>
        <w:rPr>
          <w:color w:val="404040"/>
          <w:spacing w:val="-2"/>
        </w:rPr>
        <w:t> </w:t>
      </w:r>
      <w:r>
        <w:rPr>
          <w:color w:val="404040"/>
        </w:rPr>
        <w:t>–</w:t>
      </w:r>
      <w:r>
        <w:rPr>
          <w:color w:val="404040"/>
          <w:spacing w:val="1"/>
        </w:rPr>
        <w:t> </w:t>
      </w:r>
      <w:r>
        <w:rPr>
          <w:color w:val="404040"/>
        </w:rPr>
        <w:t>secondo</w:t>
      </w:r>
      <w:r>
        <w:rPr>
          <w:color w:val="404040"/>
          <w:spacing w:val="2"/>
        </w:rPr>
        <w:t> </w:t>
      </w:r>
      <w:r>
        <w:rPr>
          <w:color w:val="404040"/>
        </w:rPr>
        <w:t>le</w:t>
      </w:r>
      <w:r>
        <w:rPr>
          <w:color w:val="404040"/>
          <w:spacing w:val="1"/>
        </w:rPr>
        <w:t> </w:t>
      </w:r>
      <w:r>
        <w:rPr>
          <w:color w:val="404040"/>
        </w:rPr>
        <w:t>stime</w:t>
      </w:r>
      <w:r>
        <w:rPr>
          <w:color w:val="404040"/>
          <w:spacing w:val="-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Meridiano</w:t>
      </w:r>
    </w:p>
    <w:p>
      <w:pPr>
        <w:spacing w:after="0"/>
        <w:jc w:val="both"/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Heading1"/>
        <w:spacing w:before="57"/>
        <w:rPr>
          <w:b w:val="0"/>
        </w:rPr>
      </w:pPr>
      <w:r>
        <w:rPr>
          <w:b w:val="0"/>
          <w:color w:val="404040"/>
        </w:rPr>
        <w:t>Sanità</w:t>
      </w:r>
      <w:r>
        <w:rPr>
          <w:b w:val="0"/>
          <w:color w:val="404040"/>
          <w:spacing w:val="13"/>
        </w:rPr>
        <w:t> </w:t>
      </w:r>
      <w:r>
        <w:rPr>
          <w:color w:val="404040"/>
        </w:rPr>
        <w:t>la</w:t>
      </w:r>
      <w:r>
        <w:rPr>
          <w:color w:val="404040"/>
          <w:spacing w:val="12"/>
        </w:rPr>
        <w:t> </w:t>
      </w:r>
      <w:r>
        <w:rPr>
          <w:color w:val="404040"/>
        </w:rPr>
        <w:t>spesa</w:t>
      </w:r>
      <w:r>
        <w:rPr>
          <w:color w:val="404040"/>
          <w:spacing w:val="12"/>
        </w:rPr>
        <w:t> </w:t>
      </w:r>
      <w:r>
        <w:rPr>
          <w:color w:val="404040"/>
        </w:rPr>
        <w:t>sanitaria</w:t>
      </w:r>
      <w:r>
        <w:rPr>
          <w:color w:val="404040"/>
          <w:spacing w:val="12"/>
        </w:rPr>
        <w:t> </w:t>
      </w:r>
      <w:r>
        <w:rPr>
          <w:color w:val="404040"/>
        </w:rPr>
        <w:t>pubblica</w:t>
      </w:r>
      <w:r>
        <w:rPr>
          <w:color w:val="404040"/>
          <w:spacing w:val="12"/>
        </w:rPr>
        <w:t> </w:t>
      </w:r>
      <w:r>
        <w:rPr>
          <w:color w:val="404040"/>
        </w:rPr>
        <w:t>raggiungerà</w:t>
      </w:r>
      <w:r>
        <w:rPr>
          <w:color w:val="404040"/>
          <w:spacing w:val="12"/>
        </w:rPr>
        <w:t> </w:t>
      </w:r>
      <w:r>
        <w:rPr>
          <w:color w:val="404040"/>
        </w:rPr>
        <w:t>i</w:t>
      </w:r>
      <w:r>
        <w:rPr>
          <w:color w:val="404040"/>
          <w:spacing w:val="12"/>
        </w:rPr>
        <w:t> </w:t>
      </w:r>
      <w:r>
        <w:rPr>
          <w:color w:val="404040"/>
        </w:rPr>
        <w:t>164</w:t>
      </w:r>
      <w:r>
        <w:rPr>
          <w:color w:val="404040"/>
          <w:spacing w:val="12"/>
        </w:rPr>
        <w:t> </w:t>
      </w:r>
      <w:r>
        <w:rPr>
          <w:color w:val="404040"/>
        </w:rPr>
        <w:t>miliardi</w:t>
      </w:r>
      <w:r>
        <w:rPr>
          <w:color w:val="404040"/>
          <w:spacing w:val="15"/>
        </w:rPr>
        <w:t> </w:t>
      </w:r>
      <w:r>
        <w:rPr>
          <w:color w:val="404040"/>
        </w:rPr>
        <w:t>di</w:t>
      </w:r>
      <w:r>
        <w:rPr>
          <w:color w:val="404040"/>
          <w:spacing w:val="16"/>
        </w:rPr>
        <w:t> </w:t>
      </w:r>
      <w:r>
        <w:rPr>
          <w:color w:val="404040"/>
        </w:rPr>
        <w:t>euro</w:t>
      </w:r>
      <w:r>
        <w:rPr>
          <w:color w:val="404040"/>
          <w:spacing w:val="12"/>
        </w:rPr>
        <w:t> </w:t>
      </w:r>
      <w:r>
        <w:rPr>
          <w:color w:val="404040"/>
        </w:rPr>
        <w:t>entro</w:t>
      </w:r>
      <w:r>
        <w:rPr>
          <w:color w:val="404040"/>
          <w:spacing w:val="12"/>
        </w:rPr>
        <w:t> </w:t>
      </w:r>
      <w:r>
        <w:rPr>
          <w:color w:val="404040"/>
        </w:rPr>
        <w:t>il</w:t>
      </w:r>
      <w:r>
        <w:rPr>
          <w:color w:val="404040"/>
          <w:spacing w:val="12"/>
        </w:rPr>
        <w:t> </w:t>
      </w:r>
      <w:r>
        <w:rPr>
          <w:color w:val="404040"/>
        </w:rPr>
        <w:t>2035</w:t>
      </w:r>
      <w:r>
        <w:rPr>
          <w:color w:val="404040"/>
          <w:spacing w:val="15"/>
        </w:rPr>
        <w:t> </w:t>
      </w:r>
      <w:r>
        <w:rPr>
          <w:b w:val="0"/>
          <w:color w:val="404040"/>
        </w:rPr>
        <w:t>(</w:t>
      </w:r>
      <w:r>
        <w:rPr>
          <w:color w:val="404040"/>
        </w:rPr>
        <w:t>7,9%</w:t>
      </w:r>
      <w:r>
        <w:rPr>
          <w:color w:val="404040"/>
          <w:spacing w:val="13"/>
        </w:rPr>
        <w:t> </w:t>
      </w:r>
      <w:r>
        <w:rPr>
          <w:b w:val="0"/>
          <w:color w:val="404040"/>
        </w:rPr>
        <w:t>del</w:t>
      </w:r>
      <w:r>
        <w:rPr>
          <w:b w:val="0"/>
          <w:color w:val="404040"/>
          <w:spacing w:val="11"/>
        </w:rPr>
        <w:t> </w:t>
      </w:r>
      <w:r>
        <w:rPr>
          <w:b w:val="0"/>
          <w:color w:val="404040"/>
        </w:rPr>
        <w:t>PIL)</w:t>
      </w:r>
      <w:r>
        <w:rPr>
          <w:b w:val="0"/>
          <w:color w:val="404040"/>
          <w:spacing w:val="14"/>
        </w:rPr>
        <w:t> </w:t>
      </w:r>
      <w:r>
        <w:rPr>
          <w:b w:val="0"/>
          <w:color w:val="404040"/>
        </w:rPr>
        <w:t>e</w:t>
      </w:r>
      <w:r>
        <w:rPr>
          <w:b w:val="0"/>
          <w:color w:val="404040"/>
          <w:spacing w:val="14"/>
        </w:rPr>
        <w:t> </w:t>
      </w:r>
      <w:r>
        <w:rPr>
          <w:b w:val="0"/>
          <w:color w:val="404040"/>
        </w:rPr>
        <w:t>i</w:t>
      </w:r>
    </w:p>
    <w:p>
      <w:pPr>
        <w:spacing w:before="0"/>
        <w:ind w:left="118" w:right="0" w:firstLine="0"/>
        <w:jc w:val="left"/>
        <w:rPr>
          <w:sz w:val="22"/>
        </w:rPr>
      </w:pPr>
      <w:r>
        <w:rPr>
          <w:b/>
          <w:color w:val="404040"/>
          <w:sz w:val="22"/>
        </w:rPr>
        <w:t>220</w:t>
      </w:r>
      <w:r>
        <w:rPr>
          <w:b/>
          <w:color w:val="404040"/>
          <w:spacing w:val="-1"/>
          <w:sz w:val="22"/>
        </w:rPr>
        <w:t> </w:t>
      </w:r>
      <w:r>
        <w:rPr>
          <w:b/>
          <w:color w:val="404040"/>
          <w:sz w:val="22"/>
        </w:rPr>
        <w:t>miliardi</w:t>
      </w:r>
      <w:r>
        <w:rPr>
          <w:b/>
          <w:color w:val="404040"/>
          <w:spacing w:val="-1"/>
          <w:sz w:val="22"/>
        </w:rPr>
        <w:t> </w:t>
      </w:r>
      <w:r>
        <w:rPr>
          <w:b/>
          <w:color w:val="404040"/>
          <w:sz w:val="22"/>
        </w:rPr>
        <w:t>di euro</w:t>
      </w:r>
      <w:r>
        <w:rPr>
          <w:b/>
          <w:color w:val="404040"/>
          <w:spacing w:val="-3"/>
          <w:sz w:val="22"/>
        </w:rPr>
        <w:t> </w:t>
      </w:r>
      <w:r>
        <w:rPr>
          <w:b/>
          <w:color w:val="404040"/>
          <w:sz w:val="22"/>
        </w:rPr>
        <w:t>entro</w:t>
      </w:r>
      <w:r>
        <w:rPr>
          <w:b/>
          <w:color w:val="404040"/>
          <w:spacing w:val="-5"/>
          <w:sz w:val="22"/>
        </w:rPr>
        <w:t> </w:t>
      </w:r>
      <w:r>
        <w:rPr>
          <w:b/>
          <w:color w:val="404040"/>
          <w:sz w:val="22"/>
        </w:rPr>
        <w:t>il 2050</w:t>
      </w:r>
      <w:r>
        <w:rPr>
          <w:b/>
          <w:color w:val="404040"/>
          <w:spacing w:val="-1"/>
          <w:sz w:val="22"/>
        </w:rPr>
        <w:t> </w:t>
      </w:r>
      <w:r>
        <w:rPr>
          <w:color w:val="404040"/>
          <w:sz w:val="22"/>
        </w:rPr>
        <w:t>(</w:t>
      </w:r>
      <w:r>
        <w:rPr>
          <w:b/>
          <w:color w:val="404040"/>
          <w:sz w:val="22"/>
        </w:rPr>
        <w:t>9,5%</w:t>
      </w:r>
      <w:r>
        <w:rPr>
          <w:b/>
          <w:color w:val="404040"/>
          <w:spacing w:val="-2"/>
          <w:sz w:val="22"/>
        </w:rPr>
        <w:t> </w:t>
      </w:r>
      <w:r>
        <w:rPr>
          <w:color w:val="404040"/>
          <w:sz w:val="22"/>
        </w:rPr>
        <w:t>del</w:t>
      </w:r>
      <w:r>
        <w:rPr>
          <w:color w:val="404040"/>
          <w:spacing w:val="-4"/>
          <w:sz w:val="22"/>
        </w:rPr>
        <w:t> </w:t>
      </w:r>
      <w:r>
        <w:rPr>
          <w:color w:val="404040"/>
          <w:sz w:val="22"/>
        </w:rPr>
        <w:t>PIL).</w:t>
      </w:r>
    </w:p>
    <w:p>
      <w:pPr>
        <w:pStyle w:val="BodyText"/>
      </w:pPr>
    </w:p>
    <w:p>
      <w:pPr>
        <w:pStyle w:val="BodyText"/>
      </w:pPr>
    </w:p>
    <w:p>
      <w:pPr>
        <w:pStyle w:val="Heading1"/>
        <w:spacing w:before="1"/>
      </w:pPr>
      <w:r>
        <w:rPr>
          <w:color w:val="404040"/>
          <w:u w:val="single" w:color="404040"/>
        </w:rPr>
        <w:t>Le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6 priorità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di azione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per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il</w:t>
      </w:r>
      <w:r>
        <w:rPr>
          <w:color w:val="404040"/>
          <w:spacing w:val="-1"/>
          <w:u w:val="single" w:color="404040"/>
        </w:rPr>
        <w:t> </w:t>
      </w:r>
      <w:r>
        <w:rPr>
          <w:color w:val="404040"/>
          <w:u w:val="single" w:color="404040"/>
        </w:rPr>
        <w:t>sistema</w:t>
      </w:r>
      <w:r>
        <w:rPr>
          <w:color w:val="404040"/>
          <w:spacing w:val="-2"/>
          <w:u w:val="single" w:color="404040"/>
        </w:rPr>
        <w:t> </w:t>
      </w:r>
      <w:r>
        <w:rPr>
          <w:color w:val="404040"/>
          <w:u w:val="single" w:color="404040"/>
        </w:rPr>
        <w:t>di</w:t>
      </w:r>
      <w:r>
        <w:rPr>
          <w:color w:val="404040"/>
          <w:spacing w:val="-3"/>
          <w:u w:val="single" w:color="404040"/>
        </w:rPr>
        <w:t> </w:t>
      </w:r>
      <w:r>
        <w:rPr>
          <w:color w:val="404040"/>
          <w:u w:val="single" w:color="404040"/>
        </w:rPr>
        <w:t>welfare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italiano</w:t>
      </w:r>
    </w:p>
    <w:p>
      <w:pPr>
        <w:pStyle w:val="BodyText"/>
        <w:spacing w:before="2"/>
        <w:rPr>
          <w:b/>
          <w:sz w:val="17"/>
        </w:rPr>
      </w:pPr>
    </w:p>
    <w:p>
      <w:pPr>
        <w:spacing w:before="57"/>
        <w:ind w:left="118" w:right="113" w:hanging="1"/>
        <w:jc w:val="both"/>
        <w:rPr>
          <w:sz w:val="22"/>
        </w:rPr>
      </w:pPr>
      <w:r>
        <w:rPr>
          <w:color w:val="404040"/>
          <w:sz w:val="22"/>
        </w:rPr>
        <w:t>In questo quadro, “Welfare, Italia” ha individuato 6 priorità d’azione, supportate da specifici indirizzi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operativi, che il Paese deve affrontare per </w:t>
      </w:r>
      <w:r>
        <w:rPr>
          <w:b/>
          <w:color w:val="404040"/>
          <w:sz w:val="22"/>
        </w:rPr>
        <w:t>contrastare la dinamica demografica negativa </w:t>
      </w:r>
      <w:r>
        <w:rPr>
          <w:color w:val="404040"/>
          <w:sz w:val="22"/>
        </w:rPr>
        <w:t>del Paese e</w:t>
      </w:r>
      <w:r>
        <w:rPr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rendere</w:t>
      </w:r>
      <w:r>
        <w:rPr>
          <w:b/>
          <w:color w:val="404040"/>
          <w:spacing w:val="-2"/>
          <w:sz w:val="22"/>
        </w:rPr>
        <w:t> </w:t>
      </w:r>
      <w:r>
        <w:rPr>
          <w:b/>
          <w:color w:val="404040"/>
          <w:sz w:val="22"/>
        </w:rPr>
        <w:t>più</w:t>
      </w:r>
      <w:r>
        <w:rPr>
          <w:b/>
          <w:color w:val="404040"/>
          <w:spacing w:val="-2"/>
          <w:sz w:val="22"/>
        </w:rPr>
        <w:t> </w:t>
      </w:r>
      <w:r>
        <w:rPr>
          <w:b/>
          <w:color w:val="404040"/>
          <w:sz w:val="22"/>
        </w:rPr>
        <w:t>sostenibile</w:t>
      </w:r>
      <w:r>
        <w:rPr>
          <w:b/>
          <w:color w:val="404040"/>
          <w:spacing w:val="-3"/>
          <w:sz w:val="22"/>
        </w:rPr>
        <w:t> </w:t>
      </w:r>
      <w:r>
        <w:rPr>
          <w:b/>
          <w:color w:val="404040"/>
          <w:sz w:val="22"/>
        </w:rPr>
        <w:t>la</w:t>
      </w:r>
      <w:r>
        <w:rPr>
          <w:b/>
          <w:color w:val="404040"/>
          <w:spacing w:val="-2"/>
          <w:sz w:val="22"/>
        </w:rPr>
        <w:t> </w:t>
      </w:r>
      <w:r>
        <w:rPr>
          <w:b/>
          <w:color w:val="404040"/>
          <w:sz w:val="22"/>
        </w:rPr>
        <w:t>spesa</w:t>
      </w:r>
      <w:r>
        <w:rPr>
          <w:b/>
          <w:color w:val="404040"/>
          <w:spacing w:val="-2"/>
          <w:sz w:val="22"/>
        </w:rPr>
        <w:t> </w:t>
      </w:r>
      <w:r>
        <w:rPr>
          <w:b/>
          <w:color w:val="404040"/>
          <w:sz w:val="22"/>
        </w:rPr>
        <w:t>in</w:t>
      </w:r>
      <w:r>
        <w:rPr>
          <w:b/>
          <w:color w:val="404040"/>
          <w:spacing w:val="-1"/>
          <w:sz w:val="22"/>
        </w:rPr>
        <w:t> </w:t>
      </w:r>
      <w:r>
        <w:rPr>
          <w:b/>
          <w:color w:val="404040"/>
          <w:sz w:val="22"/>
        </w:rPr>
        <w:t>welfare</w:t>
      </w:r>
      <w:r>
        <w:rPr>
          <w:b/>
          <w:color w:val="404040"/>
          <w:spacing w:val="-2"/>
          <w:sz w:val="22"/>
        </w:rPr>
        <w:t> </w:t>
      </w:r>
      <w:r>
        <w:rPr>
          <w:color w:val="404040"/>
          <w:sz w:val="22"/>
        </w:rPr>
        <w:t>alla luce dell’evoluzione demografica:</w:t>
      </w:r>
    </w:p>
    <w:p>
      <w:pPr>
        <w:pStyle w:val="BodyText"/>
      </w:pPr>
    </w:p>
    <w:p>
      <w:pPr>
        <w:pStyle w:val="Heading1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826" w:right="0" w:hanging="349"/>
        <w:jc w:val="left"/>
      </w:pPr>
      <w:r>
        <w:rPr>
          <w:color w:val="404040"/>
        </w:rPr>
        <w:t>Integrare</w:t>
      </w:r>
      <w:r>
        <w:rPr>
          <w:color w:val="404040"/>
          <w:spacing w:val="-4"/>
        </w:rPr>
        <w:t> </w:t>
      </w:r>
      <w:r>
        <w:rPr>
          <w:color w:val="404040"/>
        </w:rPr>
        <w:t>il</w:t>
      </w:r>
      <w:r>
        <w:rPr>
          <w:color w:val="404040"/>
          <w:spacing w:val="-2"/>
        </w:rPr>
        <w:t> </w:t>
      </w:r>
      <w:r>
        <w:rPr>
          <w:color w:val="404040"/>
        </w:rPr>
        <w:t>tema</w:t>
      </w:r>
      <w:r>
        <w:rPr>
          <w:color w:val="404040"/>
          <w:spacing w:val="-3"/>
        </w:rPr>
        <w:t> </w:t>
      </w:r>
      <w:r>
        <w:rPr>
          <w:color w:val="404040"/>
        </w:rPr>
        <w:t>della</w:t>
      </w:r>
      <w:r>
        <w:rPr>
          <w:color w:val="404040"/>
          <w:spacing w:val="-4"/>
        </w:rPr>
        <w:t> </w:t>
      </w:r>
      <w:r>
        <w:rPr>
          <w:color w:val="404040"/>
        </w:rPr>
        <w:t>natalità</w:t>
      </w:r>
      <w:r>
        <w:rPr>
          <w:color w:val="404040"/>
          <w:spacing w:val="-3"/>
        </w:rPr>
        <w:t> </w:t>
      </w:r>
      <w:r>
        <w:rPr>
          <w:color w:val="404040"/>
        </w:rPr>
        <w:t>all’interno</w:t>
      </w:r>
      <w:r>
        <w:rPr>
          <w:color w:val="404040"/>
          <w:spacing w:val="-4"/>
        </w:rPr>
        <w:t> </w:t>
      </w:r>
      <w:r>
        <w:rPr>
          <w:color w:val="404040"/>
        </w:rPr>
        <w:t>della</w:t>
      </w:r>
      <w:r>
        <w:rPr>
          <w:color w:val="404040"/>
          <w:spacing w:val="-3"/>
        </w:rPr>
        <w:t> </w:t>
      </w:r>
      <w:r>
        <w:rPr>
          <w:color w:val="404040"/>
        </w:rPr>
        <w:t>tassonomia</w:t>
      </w:r>
      <w:r>
        <w:rPr>
          <w:color w:val="404040"/>
          <w:spacing w:val="-4"/>
        </w:rPr>
        <w:t> </w:t>
      </w:r>
      <w:r>
        <w:rPr>
          <w:color w:val="404040"/>
        </w:rPr>
        <w:t>sociale</w:t>
      </w:r>
      <w:r>
        <w:rPr>
          <w:color w:val="404040"/>
          <w:spacing w:val="-3"/>
        </w:rPr>
        <w:t> </w:t>
      </w:r>
      <w:r>
        <w:rPr>
          <w:color w:val="404040"/>
        </w:rPr>
        <w:t>europea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838" w:right="112"/>
        <w:jc w:val="both"/>
      </w:pPr>
      <w:r>
        <w:rPr>
          <w:color w:val="404040"/>
        </w:rPr>
        <w:t>L’Unione Europea è l’area globale con il più basso tasso di natalità e detiene competenze</w:t>
      </w:r>
      <w:r>
        <w:rPr>
          <w:color w:val="404040"/>
          <w:spacing w:val="1"/>
        </w:rPr>
        <w:t> </w:t>
      </w:r>
      <w:r>
        <w:rPr>
          <w:color w:val="404040"/>
        </w:rPr>
        <w:t>limitate in ambito sociale per affrontare la questione, ma può fare leva su strumenti che –</w:t>
      </w:r>
      <w:r>
        <w:rPr>
          <w:color w:val="404040"/>
          <w:spacing w:val="1"/>
        </w:rPr>
        <w:t> </w:t>
      </w:r>
      <w:r>
        <w:rPr>
          <w:color w:val="404040"/>
        </w:rPr>
        <w:t>indirettamente – possono impattare il tema demografico, come la tassonomia sociale (che</w:t>
      </w:r>
      <w:r>
        <w:rPr>
          <w:color w:val="404040"/>
          <w:spacing w:val="1"/>
        </w:rPr>
        <w:t> </w:t>
      </w:r>
      <w:r>
        <w:rPr>
          <w:color w:val="404040"/>
        </w:rPr>
        <w:t>identificherà</w:t>
      </w:r>
      <w:r>
        <w:rPr>
          <w:color w:val="404040"/>
          <w:spacing w:val="30"/>
        </w:rPr>
        <w:t> </w:t>
      </w:r>
      <w:r>
        <w:rPr>
          <w:color w:val="404040"/>
        </w:rPr>
        <w:t>le</w:t>
      </w:r>
      <w:r>
        <w:rPr>
          <w:color w:val="404040"/>
          <w:spacing w:val="30"/>
        </w:rPr>
        <w:t> </w:t>
      </w:r>
      <w:r>
        <w:rPr>
          <w:color w:val="404040"/>
        </w:rPr>
        <w:t>attività</w:t>
      </w:r>
      <w:r>
        <w:rPr>
          <w:color w:val="404040"/>
          <w:spacing w:val="31"/>
        </w:rPr>
        <w:t> </w:t>
      </w:r>
      <w:r>
        <w:rPr>
          <w:b/>
          <w:color w:val="404040"/>
        </w:rPr>
        <w:t>economiche</w:t>
      </w:r>
      <w:r>
        <w:rPr>
          <w:b/>
          <w:color w:val="404040"/>
          <w:spacing w:val="29"/>
        </w:rPr>
        <w:t> </w:t>
      </w:r>
      <w:r>
        <w:rPr>
          <w:b/>
          <w:color w:val="404040"/>
        </w:rPr>
        <w:t>socialmente</w:t>
      </w:r>
      <w:r>
        <w:rPr>
          <w:b/>
          <w:color w:val="404040"/>
          <w:spacing w:val="30"/>
        </w:rPr>
        <w:t> </w:t>
      </w:r>
      <w:r>
        <w:rPr>
          <w:b/>
          <w:color w:val="404040"/>
        </w:rPr>
        <w:t>sostenibili</w:t>
      </w:r>
      <w:r>
        <w:rPr>
          <w:color w:val="404040"/>
        </w:rPr>
        <w:t>,</w:t>
      </w:r>
      <w:r>
        <w:rPr>
          <w:color w:val="404040"/>
          <w:spacing w:val="28"/>
        </w:rPr>
        <w:t> </w:t>
      </w:r>
      <w:r>
        <w:rPr>
          <w:color w:val="404040"/>
        </w:rPr>
        <w:t>analogamente</w:t>
      </w:r>
      <w:r>
        <w:rPr>
          <w:color w:val="404040"/>
          <w:spacing w:val="31"/>
        </w:rPr>
        <w:t> </w:t>
      </w:r>
      <w:r>
        <w:rPr>
          <w:color w:val="404040"/>
        </w:rPr>
        <w:t>a</w:t>
      </w:r>
      <w:r>
        <w:rPr>
          <w:color w:val="404040"/>
          <w:spacing w:val="25"/>
        </w:rPr>
        <w:t> </w:t>
      </w:r>
      <w:r>
        <w:rPr>
          <w:color w:val="404040"/>
        </w:rPr>
        <w:t>quanto</w:t>
      </w:r>
      <w:r>
        <w:rPr>
          <w:color w:val="404040"/>
          <w:spacing w:val="32"/>
        </w:rPr>
        <w:t> </w:t>
      </w:r>
      <w:r>
        <w:rPr>
          <w:color w:val="404040"/>
        </w:rPr>
        <w:t>fatto</w:t>
      </w:r>
      <w:r>
        <w:rPr>
          <w:color w:val="404040"/>
          <w:spacing w:val="-48"/>
        </w:rPr>
        <w:t> </w:t>
      </w:r>
      <w:r>
        <w:rPr>
          <w:color w:val="404040"/>
        </w:rPr>
        <w:t>sul versante ambientale). La proposta è di introdurre in esplicito, all’interno della Tassonomia</w:t>
      </w:r>
      <w:r>
        <w:rPr>
          <w:color w:val="404040"/>
          <w:spacing w:val="-47"/>
        </w:rPr>
        <w:t> </w:t>
      </w:r>
      <w:r>
        <w:rPr>
          <w:color w:val="404040"/>
        </w:rPr>
        <w:t>sociale, un sotto-obiettivo connesso alla natalità, orientando così gli investimenti verso le</w:t>
      </w:r>
      <w:r>
        <w:rPr>
          <w:color w:val="404040"/>
          <w:spacing w:val="1"/>
        </w:rPr>
        <w:t> </w:t>
      </w:r>
      <w:r>
        <w:rPr>
          <w:color w:val="404040"/>
        </w:rPr>
        <w:t>realtà</w:t>
      </w:r>
      <w:r>
        <w:rPr>
          <w:color w:val="404040"/>
          <w:spacing w:val="-1"/>
        </w:rPr>
        <w:t> </w:t>
      </w:r>
      <w:r>
        <w:rPr>
          <w:color w:val="404040"/>
        </w:rPr>
        <w:t>che</w:t>
      </w:r>
      <w:r>
        <w:rPr>
          <w:color w:val="404040"/>
          <w:spacing w:val="1"/>
        </w:rPr>
        <w:t> </w:t>
      </w:r>
      <w:r>
        <w:rPr>
          <w:color w:val="404040"/>
        </w:rPr>
        <w:t>forniscono un</w:t>
      </w:r>
      <w:r>
        <w:rPr>
          <w:color w:val="404040"/>
          <w:spacing w:val="-1"/>
        </w:rPr>
        <w:t> </w:t>
      </w:r>
      <w:r>
        <w:rPr>
          <w:color w:val="404040"/>
        </w:rPr>
        <w:t>apporto</w:t>
      </w:r>
      <w:r>
        <w:rPr>
          <w:color w:val="404040"/>
          <w:spacing w:val="-1"/>
        </w:rPr>
        <w:t> </w:t>
      </w:r>
      <w:r>
        <w:rPr>
          <w:color w:val="404040"/>
        </w:rPr>
        <w:t>positivo alla</w:t>
      </w:r>
      <w:r>
        <w:rPr>
          <w:color w:val="404040"/>
          <w:spacing w:val="-2"/>
        </w:rPr>
        <w:t> </w:t>
      </w:r>
      <w:r>
        <w:rPr>
          <w:color w:val="404040"/>
        </w:rPr>
        <w:t>demografia.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838" w:right="113" w:hanging="360"/>
        <w:jc w:val="left"/>
      </w:pPr>
      <w:r>
        <w:rPr>
          <w:color w:val="404040"/>
        </w:rPr>
        <w:t>Promuovere</w:t>
      </w:r>
      <w:r>
        <w:rPr>
          <w:color w:val="404040"/>
          <w:spacing w:val="31"/>
        </w:rPr>
        <w:t> </w:t>
      </w:r>
      <w:r>
        <w:rPr>
          <w:color w:val="404040"/>
        </w:rPr>
        <w:t>misure</w:t>
      </w:r>
      <w:r>
        <w:rPr>
          <w:color w:val="404040"/>
          <w:spacing w:val="31"/>
        </w:rPr>
        <w:t> </w:t>
      </w:r>
      <w:r>
        <w:rPr>
          <w:color w:val="404040"/>
        </w:rPr>
        <w:t>finalizzate</w:t>
      </w:r>
      <w:r>
        <w:rPr>
          <w:color w:val="404040"/>
          <w:spacing w:val="32"/>
        </w:rPr>
        <w:t> </w:t>
      </w:r>
      <w:r>
        <w:rPr>
          <w:color w:val="404040"/>
        </w:rPr>
        <w:t>a</w:t>
      </w:r>
      <w:r>
        <w:rPr>
          <w:color w:val="404040"/>
          <w:spacing w:val="31"/>
        </w:rPr>
        <w:t> </w:t>
      </w:r>
      <w:r>
        <w:rPr>
          <w:color w:val="404040"/>
        </w:rPr>
        <w:t>sostenere</w:t>
      </w:r>
      <w:r>
        <w:rPr>
          <w:color w:val="404040"/>
          <w:spacing w:val="31"/>
        </w:rPr>
        <w:t> </w:t>
      </w:r>
      <w:r>
        <w:rPr>
          <w:color w:val="404040"/>
        </w:rPr>
        <w:t>la</w:t>
      </w:r>
      <w:r>
        <w:rPr>
          <w:color w:val="404040"/>
          <w:spacing w:val="30"/>
        </w:rPr>
        <w:t> </w:t>
      </w:r>
      <w:r>
        <w:rPr>
          <w:color w:val="404040"/>
        </w:rPr>
        <w:t>genitorialità</w:t>
      </w:r>
      <w:r>
        <w:rPr>
          <w:color w:val="404040"/>
          <w:spacing w:val="31"/>
        </w:rPr>
        <w:t> </w:t>
      </w:r>
      <w:r>
        <w:rPr>
          <w:color w:val="404040"/>
        </w:rPr>
        <w:t>e</w:t>
      </w:r>
      <w:r>
        <w:rPr>
          <w:color w:val="404040"/>
          <w:spacing w:val="31"/>
        </w:rPr>
        <w:t> </w:t>
      </w:r>
      <w:r>
        <w:rPr>
          <w:color w:val="404040"/>
        </w:rPr>
        <w:t>ad</w:t>
      </w:r>
      <w:r>
        <w:rPr>
          <w:color w:val="404040"/>
          <w:spacing w:val="32"/>
        </w:rPr>
        <w:t> </w:t>
      </w:r>
      <w:r>
        <w:rPr>
          <w:color w:val="404040"/>
        </w:rPr>
        <w:t>accrescere</w:t>
      </w:r>
      <w:r>
        <w:rPr>
          <w:color w:val="404040"/>
          <w:spacing w:val="31"/>
        </w:rPr>
        <w:t> </w:t>
      </w:r>
      <w:r>
        <w:rPr>
          <w:color w:val="404040"/>
        </w:rPr>
        <w:t>l’occupazione</w:t>
      </w:r>
      <w:r>
        <w:rPr>
          <w:color w:val="404040"/>
          <w:spacing w:val="-47"/>
        </w:rPr>
        <w:t> </w:t>
      </w:r>
      <w:r>
        <w:rPr>
          <w:color w:val="404040"/>
        </w:rPr>
        <w:t>femminile</w:t>
      </w:r>
    </w:p>
    <w:p>
      <w:pPr>
        <w:pStyle w:val="BodyText"/>
        <w:rPr>
          <w:b/>
        </w:rPr>
      </w:pPr>
    </w:p>
    <w:p>
      <w:pPr>
        <w:pStyle w:val="BodyText"/>
        <w:ind w:left="838" w:right="115"/>
        <w:jc w:val="both"/>
      </w:pPr>
      <w:r>
        <w:rPr>
          <w:color w:val="404040"/>
        </w:rPr>
        <w:t>Ad oggi l’Italia è penultima nell’Unione Europea per tasso di occupazione femminile e 1° per</w:t>
      </w:r>
      <w:r>
        <w:rPr>
          <w:color w:val="404040"/>
          <w:spacing w:val="1"/>
        </w:rPr>
        <w:t> </w:t>
      </w:r>
      <w:r>
        <w:rPr>
          <w:color w:val="404040"/>
        </w:rPr>
        <w:t>tasso di part-time involontario (rappresenta la quota di donne che hanno accettato un lavoro</w:t>
      </w:r>
      <w:r>
        <w:rPr>
          <w:color w:val="404040"/>
          <w:spacing w:val="-47"/>
        </w:rPr>
        <w:t> </w:t>
      </w:r>
      <w:r>
        <w:rPr>
          <w:color w:val="404040"/>
        </w:rPr>
        <w:t>part-time</w:t>
      </w:r>
      <w:r>
        <w:rPr>
          <w:color w:val="404040"/>
          <w:spacing w:val="1"/>
        </w:rPr>
        <w:t> </w:t>
      </w:r>
      <w:r>
        <w:rPr>
          <w:color w:val="404040"/>
        </w:rPr>
        <w:t>in</w:t>
      </w:r>
      <w:r>
        <w:rPr>
          <w:color w:val="404040"/>
          <w:spacing w:val="1"/>
        </w:rPr>
        <w:t> </w:t>
      </w:r>
      <w:r>
        <w:rPr>
          <w:color w:val="404040"/>
        </w:rPr>
        <w:t>assenza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opportunità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lavoro</w:t>
      </w:r>
      <w:r>
        <w:rPr>
          <w:color w:val="404040"/>
          <w:spacing w:val="1"/>
        </w:rPr>
        <w:t> </w:t>
      </w:r>
      <w:r>
        <w:rPr>
          <w:color w:val="404040"/>
        </w:rPr>
        <w:t>a</w:t>
      </w:r>
      <w:r>
        <w:rPr>
          <w:color w:val="404040"/>
          <w:spacing w:val="1"/>
        </w:rPr>
        <w:t> </w:t>
      </w:r>
      <w:r>
        <w:rPr>
          <w:color w:val="404040"/>
        </w:rPr>
        <w:t>tempo</w:t>
      </w:r>
      <w:r>
        <w:rPr>
          <w:color w:val="404040"/>
          <w:spacing w:val="1"/>
        </w:rPr>
        <w:t> </w:t>
      </w:r>
      <w:r>
        <w:rPr>
          <w:color w:val="404040"/>
        </w:rPr>
        <w:t>pieno).</w:t>
      </w:r>
      <w:r>
        <w:rPr>
          <w:color w:val="404040"/>
          <w:spacing w:val="1"/>
        </w:rPr>
        <w:t> </w:t>
      </w:r>
      <w:r>
        <w:rPr>
          <w:color w:val="404040"/>
        </w:rPr>
        <w:t>Oltre</w:t>
      </w:r>
      <w:r>
        <w:rPr>
          <w:color w:val="404040"/>
          <w:spacing w:val="1"/>
        </w:rPr>
        <w:t> </w:t>
      </w:r>
      <w:r>
        <w:rPr>
          <w:color w:val="404040"/>
        </w:rPr>
        <w:t>alle</w:t>
      </w:r>
      <w:r>
        <w:rPr>
          <w:color w:val="404040"/>
          <w:spacing w:val="50"/>
        </w:rPr>
        <w:t> </w:t>
      </w:r>
      <w:r>
        <w:rPr>
          <w:color w:val="404040"/>
        </w:rPr>
        <w:t>criticità</w:t>
      </w:r>
      <w:r>
        <w:rPr>
          <w:color w:val="404040"/>
          <w:spacing w:val="1"/>
        </w:rPr>
        <w:t> </w:t>
      </w:r>
      <w:r>
        <w:rPr>
          <w:color w:val="404040"/>
        </w:rPr>
        <w:t>nell’inclusione femminile, vi sono </w:t>
      </w:r>
      <w:r>
        <w:rPr>
          <w:b/>
          <w:color w:val="404040"/>
        </w:rPr>
        <w:t>difficoltà specifiche per le famiglie</w:t>
      </w:r>
      <w:r>
        <w:rPr>
          <w:color w:val="404040"/>
        </w:rPr>
        <w:t>: l’Italia ha infatti un</w:t>
      </w:r>
      <w:r>
        <w:rPr>
          <w:color w:val="404040"/>
          <w:spacing w:val="1"/>
        </w:rPr>
        <w:t> </w:t>
      </w:r>
      <w:r>
        <w:rPr>
          <w:b/>
          <w:i/>
          <w:color w:val="404040"/>
        </w:rPr>
        <w:t>record</w:t>
      </w:r>
      <w:r>
        <w:rPr>
          <w:b/>
          <w:i/>
          <w:color w:val="404040"/>
          <w:spacing w:val="1"/>
        </w:rPr>
        <w:t> </w:t>
      </w:r>
      <w:r>
        <w:rPr>
          <w:b/>
          <w:color w:val="404040"/>
        </w:rPr>
        <w:t>di spesa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per la cura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di un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figlio a carico</w:t>
      </w:r>
      <w:r>
        <w:rPr>
          <w:color w:val="404040"/>
        </w:rPr>
        <w:t>: il 27% del</w:t>
      </w:r>
      <w:r>
        <w:rPr>
          <w:color w:val="404040"/>
          <w:spacing w:val="49"/>
        </w:rPr>
        <w:t> </w:t>
      </w:r>
      <w:r>
        <w:rPr>
          <w:color w:val="404040"/>
        </w:rPr>
        <w:t>reddito familiare</w:t>
      </w:r>
      <w:r>
        <w:rPr>
          <w:color w:val="404040"/>
          <w:spacing w:val="50"/>
        </w:rPr>
        <w:t> </w:t>
      </w:r>
      <w:r>
        <w:rPr>
          <w:color w:val="404040"/>
        </w:rPr>
        <w:t>serve per</w:t>
      </w:r>
      <w:r>
        <w:rPr>
          <w:color w:val="404040"/>
          <w:spacing w:val="1"/>
        </w:rPr>
        <w:t> </w:t>
      </w:r>
      <w:r>
        <w:rPr>
          <w:color w:val="404040"/>
        </w:rPr>
        <w:t>accudire</w:t>
      </w:r>
      <w:r>
        <w:rPr>
          <w:color w:val="404040"/>
          <w:spacing w:val="-1"/>
        </w:rPr>
        <w:t> </w:t>
      </w:r>
      <w:r>
        <w:rPr>
          <w:color w:val="404040"/>
        </w:rPr>
        <w:t>i figli</w:t>
      </w:r>
      <w:r>
        <w:rPr>
          <w:color w:val="404040"/>
          <w:spacing w:val="-3"/>
        </w:rPr>
        <w:t> </w:t>
      </w:r>
      <w:r>
        <w:rPr>
          <w:color w:val="404040"/>
        </w:rPr>
        <w:t>vs.</w:t>
      </w:r>
      <w:r>
        <w:rPr>
          <w:color w:val="404040"/>
          <w:spacing w:val="-4"/>
        </w:rPr>
        <w:t> </w:t>
      </w:r>
      <w:r>
        <w:rPr>
          <w:color w:val="404040"/>
        </w:rPr>
        <w:t>25%</w:t>
      </w:r>
      <w:r>
        <w:rPr>
          <w:color w:val="404040"/>
          <w:spacing w:val="1"/>
        </w:rPr>
        <w:t> </w:t>
      </w:r>
      <w:r>
        <w:rPr>
          <w:color w:val="404040"/>
        </w:rPr>
        <w:t>di UK,</w:t>
      </w:r>
      <w:r>
        <w:rPr>
          <w:color w:val="404040"/>
          <w:spacing w:val="-1"/>
        </w:rPr>
        <w:t> </w:t>
      </w:r>
      <w:r>
        <w:rPr>
          <w:color w:val="404040"/>
        </w:rPr>
        <w:t>15%</w:t>
      </w:r>
      <w:r>
        <w:rPr>
          <w:color w:val="404040"/>
          <w:spacing w:val="-2"/>
        </w:rPr>
        <w:t> </w:t>
      </w:r>
      <w:r>
        <w:rPr>
          <w:color w:val="404040"/>
        </w:rPr>
        <w:t>della Francia</w:t>
      </w:r>
      <w:r>
        <w:rPr>
          <w:color w:val="404040"/>
          <w:spacing w:val="-4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2%</w:t>
      </w:r>
      <w:r>
        <w:rPr>
          <w:color w:val="404040"/>
          <w:spacing w:val="1"/>
        </w:rPr>
        <w:t> </w:t>
      </w:r>
      <w:r>
        <w:rPr>
          <w:color w:val="404040"/>
        </w:rPr>
        <w:t>della Germania.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838" w:right="113"/>
        <w:jc w:val="both"/>
      </w:pPr>
      <w:r>
        <w:rPr>
          <w:color w:val="404040"/>
        </w:rPr>
        <w:t>Per</w:t>
      </w:r>
      <w:r>
        <w:rPr>
          <w:color w:val="404040"/>
          <w:spacing w:val="1"/>
        </w:rPr>
        <w:t> </w:t>
      </w:r>
      <w:r>
        <w:rPr>
          <w:color w:val="404040"/>
        </w:rPr>
        <w:t>tutelare</w:t>
      </w:r>
      <w:r>
        <w:rPr>
          <w:color w:val="404040"/>
          <w:spacing w:val="1"/>
        </w:rPr>
        <w:t> </w:t>
      </w:r>
      <w:r>
        <w:rPr>
          <w:color w:val="404040"/>
        </w:rPr>
        <w:t>donne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famiglie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promuovere</w:t>
      </w:r>
      <w:r>
        <w:rPr>
          <w:color w:val="404040"/>
          <w:spacing w:val="1"/>
        </w:rPr>
        <w:t> </w:t>
      </w: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color w:val="404040"/>
        </w:rPr>
        <w:t>genitorialità,</w:t>
      </w:r>
      <w:r>
        <w:rPr>
          <w:color w:val="404040"/>
          <w:spacing w:val="1"/>
        </w:rPr>
        <w:t> </w:t>
      </w:r>
      <w:r>
        <w:rPr>
          <w:color w:val="404040"/>
        </w:rPr>
        <w:t>gli</w:t>
      </w:r>
      <w:r>
        <w:rPr>
          <w:color w:val="404040"/>
          <w:spacing w:val="1"/>
        </w:rPr>
        <w:t> </w:t>
      </w:r>
      <w:r>
        <w:rPr>
          <w:color w:val="404040"/>
        </w:rPr>
        <w:t>interventi</w:t>
      </w:r>
      <w:r>
        <w:rPr>
          <w:color w:val="404040"/>
          <w:spacing w:val="1"/>
        </w:rPr>
        <w:t> </w:t>
      </w:r>
      <w:r>
        <w:rPr>
          <w:color w:val="404040"/>
        </w:rPr>
        <w:t>da</w:t>
      </w:r>
      <w:r>
        <w:rPr>
          <w:color w:val="404040"/>
          <w:spacing w:val="1"/>
        </w:rPr>
        <w:t> </w:t>
      </w:r>
      <w:r>
        <w:rPr>
          <w:color w:val="404040"/>
        </w:rPr>
        <w:t>attuare</w:t>
      </w:r>
      <w:r>
        <w:rPr>
          <w:color w:val="404040"/>
          <w:spacing w:val="1"/>
        </w:rPr>
        <w:t> </w:t>
      </w:r>
      <w:r>
        <w:rPr>
          <w:color w:val="404040"/>
        </w:rPr>
        <w:t>prevedono il rafforzamento strutturale degli strumenti di sostegno alle famiglie e alla natalità</w:t>
      </w:r>
      <w:r>
        <w:rPr>
          <w:color w:val="404040"/>
          <w:spacing w:val="-47"/>
        </w:rPr>
        <w:t> </w:t>
      </w:r>
      <w:r>
        <w:rPr>
          <w:color w:val="404040"/>
        </w:rPr>
        <w:t>(valorizzando</w:t>
      </w:r>
      <w:r>
        <w:rPr>
          <w:color w:val="404040"/>
          <w:spacing w:val="12"/>
        </w:rPr>
        <w:t> </w:t>
      </w:r>
      <w:r>
        <w:rPr>
          <w:color w:val="404040"/>
        </w:rPr>
        <w:t>anche</w:t>
      </w:r>
      <w:r>
        <w:rPr>
          <w:color w:val="404040"/>
          <w:spacing w:val="12"/>
        </w:rPr>
        <w:t> </w:t>
      </w:r>
      <w:r>
        <w:rPr>
          <w:color w:val="404040"/>
        </w:rPr>
        <w:t>il</w:t>
      </w:r>
      <w:r>
        <w:rPr>
          <w:color w:val="404040"/>
          <w:spacing w:val="9"/>
        </w:rPr>
        <w:t> </w:t>
      </w:r>
      <w:r>
        <w:rPr>
          <w:color w:val="404040"/>
        </w:rPr>
        <w:t>Terzo</w:t>
      </w:r>
      <w:r>
        <w:rPr>
          <w:color w:val="404040"/>
          <w:spacing w:val="13"/>
        </w:rPr>
        <w:t> </w:t>
      </w:r>
      <w:r>
        <w:rPr>
          <w:color w:val="404040"/>
        </w:rPr>
        <w:t>Settore),</w:t>
      </w:r>
      <w:r>
        <w:rPr>
          <w:color w:val="404040"/>
          <w:spacing w:val="12"/>
        </w:rPr>
        <w:t> </w:t>
      </w:r>
      <w:r>
        <w:rPr>
          <w:color w:val="404040"/>
        </w:rPr>
        <w:t>la</w:t>
      </w:r>
      <w:r>
        <w:rPr>
          <w:color w:val="404040"/>
          <w:spacing w:val="9"/>
        </w:rPr>
        <w:t> </w:t>
      </w:r>
      <w:r>
        <w:rPr>
          <w:color w:val="404040"/>
        </w:rPr>
        <w:t>trasformazione</w:t>
      </w:r>
      <w:r>
        <w:rPr>
          <w:color w:val="404040"/>
          <w:spacing w:val="12"/>
        </w:rPr>
        <w:t> </w:t>
      </w:r>
      <w:r>
        <w:rPr>
          <w:color w:val="404040"/>
        </w:rPr>
        <w:t>dei</w:t>
      </w:r>
      <w:r>
        <w:rPr>
          <w:color w:val="404040"/>
          <w:spacing w:val="9"/>
        </w:rPr>
        <w:t> </w:t>
      </w:r>
      <w:r>
        <w:rPr>
          <w:color w:val="404040"/>
        </w:rPr>
        <w:t>congedi</w:t>
      </w:r>
      <w:r>
        <w:rPr>
          <w:color w:val="404040"/>
          <w:spacing w:val="10"/>
        </w:rPr>
        <w:t> </w:t>
      </w:r>
      <w:r>
        <w:rPr>
          <w:color w:val="404040"/>
        </w:rPr>
        <w:t>di</w:t>
      </w:r>
      <w:r>
        <w:rPr>
          <w:color w:val="404040"/>
          <w:spacing w:val="7"/>
        </w:rPr>
        <w:t> </w:t>
      </w:r>
      <w:r>
        <w:rPr>
          <w:color w:val="404040"/>
        </w:rPr>
        <w:t>maternità</w:t>
      </w:r>
      <w:r>
        <w:rPr>
          <w:color w:val="404040"/>
          <w:spacing w:val="11"/>
        </w:rPr>
        <w:t> </w:t>
      </w:r>
      <w:r>
        <w:rPr>
          <w:color w:val="404040"/>
        </w:rPr>
        <w:t>e</w:t>
      </w:r>
      <w:r>
        <w:rPr>
          <w:color w:val="404040"/>
          <w:spacing w:val="10"/>
        </w:rPr>
        <w:t> </w:t>
      </w:r>
      <w:r>
        <w:rPr>
          <w:color w:val="404040"/>
        </w:rPr>
        <w:t>paternità</w:t>
      </w:r>
      <w:r>
        <w:rPr>
          <w:color w:val="404040"/>
          <w:spacing w:val="-47"/>
        </w:rPr>
        <w:t> </w:t>
      </w:r>
      <w:r>
        <w:rPr>
          <w:color w:val="404040"/>
        </w:rPr>
        <w:t>in congedi gender neutral, l’adozione di misure a supporto della maternità a 360° (corsi di</w:t>
      </w:r>
      <w:r>
        <w:rPr>
          <w:color w:val="404040"/>
          <w:spacing w:val="1"/>
        </w:rPr>
        <w:t> </w:t>
      </w:r>
      <w:r>
        <w:rPr>
          <w:color w:val="404040"/>
        </w:rPr>
        <w:t>formazione per l’up-skilling o il re-skilling), l’introduzione di incentivi fiscali per le persone</w:t>
      </w:r>
      <w:r>
        <w:rPr>
          <w:color w:val="404040"/>
          <w:spacing w:val="1"/>
        </w:rPr>
        <w:t> </w:t>
      </w:r>
      <w:r>
        <w:rPr>
          <w:color w:val="404040"/>
        </w:rPr>
        <w:t>fisiche anche per favorire la previdenza complementare tra le donne e l’adozione di misure</w:t>
      </w:r>
      <w:r>
        <w:rPr>
          <w:color w:val="404040"/>
          <w:spacing w:val="1"/>
        </w:rPr>
        <w:t> </w:t>
      </w:r>
      <w:r>
        <w:rPr>
          <w:color w:val="404040"/>
        </w:rPr>
        <w:t>rivolte alle imprese,</w:t>
      </w:r>
      <w:r>
        <w:rPr>
          <w:color w:val="404040"/>
          <w:spacing w:val="-2"/>
        </w:rPr>
        <w:t> </w:t>
      </w:r>
      <w:r>
        <w:rPr>
          <w:color w:val="404040"/>
        </w:rPr>
        <w:t>come</w:t>
      </w:r>
      <w:r>
        <w:rPr>
          <w:color w:val="404040"/>
          <w:spacing w:val="-3"/>
        </w:rPr>
        <w:t> </w:t>
      </w:r>
      <w:r>
        <w:rPr>
          <w:color w:val="404040"/>
        </w:rPr>
        <w:t>certificazioni, incentivi</w:t>
      </w:r>
      <w:r>
        <w:rPr>
          <w:color w:val="404040"/>
          <w:spacing w:val="-4"/>
        </w:rPr>
        <w:t> </w:t>
      </w:r>
      <w:r>
        <w:rPr>
          <w:color w:val="404040"/>
        </w:rPr>
        <w:t>e/o</w:t>
      </w:r>
      <w:r>
        <w:rPr>
          <w:color w:val="404040"/>
          <w:spacing w:val="-1"/>
        </w:rPr>
        <w:t> </w:t>
      </w:r>
      <w:r>
        <w:rPr>
          <w:color w:val="404040"/>
        </w:rPr>
        <w:t>meccanismi</w:t>
      </w:r>
      <w:r>
        <w:rPr>
          <w:color w:val="404040"/>
          <w:spacing w:val="-4"/>
        </w:rPr>
        <w:t> </w:t>
      </w:r>
      <w:r>
        <w:rPr>
          <w:color w:val="404040"/>
        </w:rPr>
        <w:t>premiali.</w:t>
      </w:r>
    </w:p>
    <w:p>
      <w:pPr>
        <w:pStyle w:val="BodyText"/>
        <w:spacing w:before="12"/>
        <w:rPr>
          <w:sz w:val="21"/>
        </w:rPr>
      </w:pPr>
    </w:p>
    <w:p>
      <w:pPr>
        <w:pStyle w:val="Heading1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838" w:right="113" w:hanging="361"/>
        <w:jc w:val="left"/>
      </w:pPr>
      <w:r>
        <w:rPr>
          <w:color w:val="404040"/>
        </w:rPr>
        <w:t>Mitigare i</w:t>
      </w:r>
      <w:r>
        <w:rPr>
          <w:color w:val="404040"/>
          <w:spacing w:val="5"/>
        </w:rPr>
        <w:t> </w:t>
      </w:r>
      <w:r>
        <w:rPr>
          <w:color w:val="404040"/>
        </w:rPr>
        <w:t>flussi</w:t>
      </w:r>
      <w:r>
        <w:rPr>
          <w:color w:val="404040"/>
          <w:spacing w:val="2"/>
        </w:rPr>
        <w:t> </w:t>
      </w:r>
      <w:r>
        <w:rPr>
          <w:color w:val="404040"/>
        </w:rPr>
        <w:t>migratori</w:t>
      </w:r>
      <w:r>
        <w:rPr>
          <w:color w:val="404040"/>
          <w:spacing w:val="3"/>
        </w:rPr>
        <w:t> </w:t>
      </w:r>
      <w:r>
        <w:rPr>
          <w:color w:val="404040"/>
        </w:rPr>
        <w:t>in</w:t>
      </w:r>
      <w:r>
        <w:rPr>
          <w:color w:val="404040"/>
          <w:spacing w:val="3"/>
        </w:rPr>
        <w:t> </w:t>
      </w:r>
      <w:r>
        <w:rPr>
          <w:color w:val="404040"/>
        </w:rPr>
        <w:t>uscita</w:t>
      </w:r>
      <w:r>
        <w:rPr>
          <w:color w:val="404040"/>
          <w:spacing w:val="2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rendere</w:t>
      </w:r>
      <w:r>
        <w:rPr>
          <w:color w:val="404040"/>
          <w:spacing w:val="3"/>
        </w:rPr>
        <w:t> </w:t>
      </w:r>
      <w:r>
        <w:rPr>
          <w:color w:val="404040"/>
        </w:rPr>
        <w:t>più efficiente</w:t>
      </w:r>
      <w:r>
        <w:rPr>
          <w:color w:val="404040"/>
          <w:spacing w:val="3"/>
        </w:rPr>
        <w:t> </w:t>
      </w:r>
      <w:r>
        <w:rPr>
          <w:color w:val="404040"/>
        </w:rPr>
        <w:t>il</w:t>
      </w:r>
      <w:r>
        <w:rPr>
          <w:color w:val="404040"/>
          <w:spacing w:val="3"/>
        </w:rPr>
        <w:t> </w:t>
      </w:r>
      <w:r>
        <w:rPr>
          <w:color w:val="404040"/>
        </w:rPr>
        <w:t>mercato</w:t>
      </w:r>
      <w:r>
        <w:rPr>
          <w:color w:val="404040"/>
          <w:spacing w:val="2"/>
        </w:rPr>
        <w:t> </w:t>
      </w:r>
      <w:r>
        <w:rPr>
          <w:color w:val="404040"/>
        </w:rPr>
        <w:t>del</w:t>
      </w:r>
      <w:r>
        <w:rPr>
          <w:color w:val="404040"/>
          <w:spacing w:val="3"/>
        </w:rPr>
        <w:t> </w:t>
      </w:r>
      <w:r>
        <w:rPr>
          <w:color w:val="404040"/>
        </w:rPr>
        <w:t>lavoro anche</w:t>
      </w:r>
      <w:r>
        <w:rPr>
          <w:color w:val="404040"/>
          <w:spacing w:val="2"/>
        </w:rPr>
        <w:t> </w:t>
      </w:r>
      <w:r>
        <w:rPr>
          <w:color w:val="404040"/>
        </w:rPr>
        <w:t>per</w:t>
      </w:r>
      <w:r>
        <w:rPr>
          <w:color w:val="404040"/>
          <w:spacing w:val="2"/>
        </w:rPr>
        <w:t> </w:t>
      </w:r>
      <w:r>
        <w:rPr>
          <w:color w:val="404040"/>
        </w:rPr>
        <w:t>i</w:t>
      </w:r>
      <w:r>
        <w:rPr>
          <w:color w:val="404040"/>
          <w:spacing w:val="-47"/>
        </w:rPr>
        <w:t> </w:t>
      </w:r>
      <w:r>
        <w:rPr>
          <w:color w:val="404040"/>
        </w:rPr>
        <w:t>cittadini</w:t>
      </w:r>
      <w:r>
        <w:rPr>
          <w:color w:val="404040"/>
          <w:spacing w:val="-2"/>
        </w:rPr>
        <w:t> </w:t>
      </w:r>
      <w:r>
        <w:rPr>
          <w:color w:val="404040"/>
        </w:rPr>
        <w:t>stranieri</w:t>
      </w:r>
    </w:p>
    <w:p>
      <w:pPr>
        <w:pStyle w:val="BodyText"/>
        <w:rPr>
          <w:b/>
        </w:rPr>
      </w:pPr>
    </w:p>
    <w:p>
      <w:pPr>
        <w:pStyle w:val="BodyText"/>
        <w:ind w:left="838" w:right="115"/>
        <w:jc w:val="both"/>
        <w:rPr>
          <w:b/>
        </w:rPr>
      </w:pPr>
      <w:r>
        <w:rPr>
          <w:color w:val="404040"/>
        </w:rPr>
        <w:t>Oggi il saldo migratorio italiano è caratterizzato dalla fuga di cervelli e da un’immigrazione</w:t>
      </w:r>
      <w:r>
        <w:rPr>
          <w:color w:val="404040"/>
          <w:spacing w:val="1"/>
        </w:rPr>
        <w:t> </w:t>
      </w:r>
      <w:r>
        <w:rPr>
          <w:color w:val="404040"/>
        </w:rPr>
        <w:t>poco</w:t>
      </w:r>
      <w:r>
        <w:rPr>
          <w:color w:val="404040"/>
          <w:spacing w:val="-3"/>
        </w:rPr>
        <w:t> </w:t>
      </w:r>
      <w:r>
        <w:rPr>
          <w:color w:val="404040"/>
        </w:rPr>
        <w:t>«qualificata».</w:t>
      </w:r>
      <w:r>
        <w:rPr>
          <w:color w:val="404040"/>
          <w:spacing w:val="-4"/>
        </w:rPr>
        <w:t> </w:t>
      </w:r>
      <w:r>
        <w:rPr>
          <w:color w:val="404040"/>
        </w:rPr>
        <w:t>Da</w:t>
      </w:r>
      <w:r>
        <w:rPr>
          <w:color w:val="404040"/>
          <w:spacing w:val="-1"/>
        </w:rPr>
        <w:t> </w:t>
      </w:r>
      <w:r>
        <w:rPr>
          <w:color w:val="404040"/>
        </w:rPr>
        <w:t>un</w:t>
      </w:r>
      <w:r>
        <w:rPr>
          <w:color w:val="404040"/>
          <w:spacing w:val="-2"/>
        </w:rPr>
        <w:t> </w:t>
      </w:r>
      <w:r>
        <w:rPr>
          <w:color w:val="404040"/>
        </w:rPr>
        <w:t>lato,</w:t>
      </w:r>
      <w:r>
        <w:rPr>
          <w:color w:val="404040"/>
          <w:spacing w:val="-2"/>
        </w:rPr>
        <w:t> </w:t>
      </w:r>
      <w:r>
        <w:rPr>
          <w:color w:val="404040"/>
        </w:rPr>
        <w:t>nel</w:t>
      </w:r>
      <w:r>
        <w:rPr>
          <w:color w:val="404040"/>
          <w:spacing w:val="-1"/>
        </w:rPr>
        <w:t> </w:t>
      </w:r>
      <w:r>
        <w:rPr>
          <w:color w:val="404040"/>
        </w:rPr>
        <w:t>2020 sono</w:t>
      </w:r>
      <w:r>
        <w:rPr>
          <w:color w:val="404040"/>
          <w:spacing w:val="-2"/>
        </w:rPr>
        <w:t> </w:t>
      </w:r>
      <w:r>
        <w:rPr>
          <w:color w:val="404040"/>
        </w:rPr>
        <w:t>emigrati</w:t>
      </w:r>
      <w:r>
        <w:rPr>
          <w:color w:val="404040"/>
          <w:spacing w:val="-3"/>
        </w:rPr>
        <w:t> </w:t>
      </w:r>
      <w:r>
        <w:rPr>
          <w:color w:val="404040"/>
        </w:rPr>
        <w:t>circa</w:t>
      </w:r>
      <w:r>
        <w:rPr>
          <w:color w:val="404040"/>
          <w:spacing w:val="-4"/>
        </w:rPr>
        <w:t> </w:t>
      </w:r>
      <w:r>
        <w:rPr>
          <w:b/>
          <w:color w:val="404040"/>
        </w:rPr>
        <w:t>40mila</w:t>
      </w:r>
      <w:r>
        <w:rPr>
          <w:b/>
          <w:color w:val="404040"/>
          <w:spacing w:val="-4"/>
        </w:rPr>
        <w:t> </w:t>
      </w:r>
      <w:r>
        <w:rPr>
          <w:b/>
          <w:color w:val="404040"/>
        </w:rPr>
        <w:t>giovani tra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i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25</w:t>
      </w:r>
      <w:r>
        <w:rPr>
          <w:b/>
          <w:color w:val="404040"/>
          <w:spacing w:val="-1"/>
        </w:rPr>
        <w:t> </w:t>
      </w:r>
      <w:r>
        <w:rPr>
          <w:b/>
          <w:color w:val="404040"/>
        </w:rPr>
        <w:t>e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i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34 anni</w:t>
      </w:r>
    </w:p>
    <w:p>
      <w:pPr>
        <w:spacing w:after="0"/>
        <w:jc w:val="both"/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p>
      <w:pPr>
        <w:pStyle w:val="BodyText"/>
        <w:spacing w:before="57"/>
        <w:ind w:left="838" w:right="112"/>
        <w:jc w:val="both"/>
      </w:pPr>
      <w:r>
        <w:rPr>
          <w:color w:val="404040"/>
        </w:rPr>
        <w:t>(1/3 degli emigrati totali) e di questi circa </w:t>
      </w:r>
      <w:r>
        <w:rPr>
          <w:b/>
          <w:color w:val="404040"/>
        </w:rPr>
        <w:t>18mila </w:t>
      </w:r>
      <w:r>
        <w:rPr>
          <w:color w:val="404040"/>
        </w:rPr>
        <w:t>possiedono almeno la laurea (la quota di</w:t>
      </w:r>
      <w:r>
        <w:rPr>
          <w:color w:val="404040"/>
          <w:spacing w:val="1"/>
        </w:rPr>
        <w:t> </w:t>
      </w:r>
      <w:r>
        <w:rPr>
          <w:color w:val="404040"/>
        </w:rPr>
        <w:t>laureati sul totale dei giovani emigrati è passata da </w:t>
      </w:r>
      <w:r>
        <w:rPr>
          <w:b/>
          <w:color w:val="404040"/>
        </w:rPr>
        <w:t>38,7% </w:t>
      </w:r>
      <w:r>
        <w:rPr>
          <w:color w:val="404040"/>
        </w:rPr>
        <w:t>nel 2019 a </w:t>
      </w:r>
      <w:r>
        <w:rPr>
          <w:b/>
          <w:color w:val="404040"/>
        </w:rPr>
        <w:t>45,6% </w:t>
      </w:r>
      <w:r>
        <w:rPr>
          <w:color w:val="404040"/>
        </w:rPr>
        <w:t>nel 2020), con un</w:t>
      </w:r>
      <w:r>
        <w:rPr>
          <w:color w:val="404040"/>
          <w:spacing w:val="-47"/>
        </w:rPr>
        <w:t> </w:t>
      </w:r>
      <w:r>
        <w:rPr>
          <w:color w:val="404040"/>
        </w:rPr>
        <w:t>costo per emigrato per il Paese tra </w:t>
      </w:r>
      <w:r>
        <w:rPr>
          <w:b/>
          <w:color w:val="404040"/>
        </w:rPr>
        <w:t>939mila euro </w:t>
      </w:r>
      <w:r>
        <w:rPr>
          <w:color w:val="404040"/>
        </w:rPr>
        <w:t>e </w:t>
      </w:r>
      <w:r>
        <w:rPr>
          <w:b/>
          <w:color w:val="404040"/>
        </w:rPr>
        <w:t>1,5 milioni di euro </w:t>
      </w:r>
      <w:r>
        <w:rPr>
          <w:color w:val="404040"/>
        </w:rPr>
        <w:t>sulla base del titolo di</w:t>
      </w:r>
      <w:r>
        <w:rPr>
          <w:color w:val="404040"/>
          <w:spacing w:val="1"/>
        </w:rPr>
        <w:t> </w:t>
      </w:r>
      <w:r>
        <w:rPr>
          <w:color w:val="404040"/>
        </w:rPr>
        <w:t>studio. Dall’altro lato, solo il </w:t>
      </w:r>
      <w:r>
        <w:rPr>
          <w:b/>
          <w:color w:val="404040"/>
        </w:rPr>
        <w:t>6,4% </w:t>
      </w:r>
      <w:r>
        <w:rPr>
          <w:color w:val="404040"/>
        </w:rPr>
        <w:t>dei permessi di soggiorno rilasciati è per lavoro (vs. 56,9%</w:t>
      </w:r>
      <w:r>
        <w:rPr>
          <w:color w:val="404040"/>
          <w:spacing w:val="1"/>
        </w:rPr>
        <w:t> </w:t>
      </w:r>
      <w:r>
        <w:rPr>
          <w:color w:val="404040"/>
        </w:rPr>
        <w:t>per motivi famigliari), anche a causa di un mercato del lavoro poco attrattivo: l’Italia è </w:t>
      </w:r>
      <w:r>
        <w:rPr>
          <w:b/>
          <w:color w:val="404040"/>
        </w:rPr>
        <w:t>22° </w:t>
      </w:r>
      <w:r>
        <w:rPr>
          <w:color w:val="404040"/>
        </w:rPr>
        <w:t>tra</w:t>
      </w:r>
      <w:r>
        <w:rPr>
          <w:color w:val="404040"/>
          <w:spacing w:val="-47"/>
        </w:rPr>
        <w:t> </w:t>
      </w:r>
      <w:r>
        <w:rPr>
          <w:color w:val="404040"/>
        </w:rPr>
        <w:t>i</w:t>
      </w:r>
      <w:r>
        <w:rPr>
          <w:color w:val="404040"/>
          <w:spacing w:val="27"/>
        </w:rPr>
        <w:t> </w:t>
      </w:r>
      <w:r>
        <w:rPr>
          <w:color w:val="404040"/>
        </w:rPr>
        <w:t>Paesi</w:t>
      </w:r>
      <w:r>
        <w:rPr>
          <w:color w:val="404040"/>
          <w:spacing w:val="27"/>
        </w:rPr>
        <w:t> </w:t>
      </w:r>
      <w:r>
        <w:rPr>
          <w:color w:val="404040"/>
        </w:rPr>
        <w:t>UE</w:t>
      </w:r>
      <w:r>
        <w:rPr>
          <w:color w:val="404040"/>
          <w:spacing w:val="25"/>
        </w:rPr>
        <w:t> </w:t>
      </w:r>
      <w:r>
        <w:rPr>
          <w:color w:val="404040"/>
        </w:rPr>
        <w:t>per</w:t>
      </w:r>
      <w:r>
        <w:rPr>
          <w:color w:val="404040"/>
          <w:spacing w:val="27"/>
        </w:rPr>
        <w:t> </w:t>
      </w:r>
      <w:r>
        <w:rPr>
          <w:color w:val="404040"/>
        </w:rPr>
        <w:t>tasso</w:t>
      </w:r>
      <w:r>
        <w:rPr>
          <w:color w:val="404040"/>
          <w:spacing w:val="29"/>
        </w:rPr>
        <w:t> </w:t>
      </w:r>
      <w:r>
        <w:rPr>
          <w:color w:val="404040"/>
        </w:rPr>
        <w:t>di</w:t>
      </w:r>
      <w:r>
        <w:rPr>
          <w:color w:val="404040"/>
          <w:spacing w:val="24"/>
        </w:rPr>
        <w:t> </w:t>
      </w:r>
      <w:r>
        <w:rPr>
          <w:color w:val="404040"/>
        </w:rPr>
        <w:t>occupazione</w:t>
      </w:r>
      <w:r>
        <w:rPr>
          <w:color w:val="404040"/>
          <w:spacing w:val="28"/>
        </w:rPr>
        <w:t> </w:t>
      </w:r>
      <w:r>
        <w:rPr>
          <w:color w:val="404040"/>
        </w:rPr>
        <w:t>degli</w:t>
      </w:r>
      <w:r>
        <w:rPr>
          <w:color w:val="404040"/>
          <w:spacing w:val="27"/>
        </w:rPr>
        <w:t> </w:t>
      </w:r>
      <w:r>
        <w:rPr>
          <w:color w:val="404040"/>
        </w:rPr>
        <w:t>immigrati</w:t>
      </w:r>
      <w:r>
        <w:rPr>
          <w:color w:val="404040"/>
          <w:spacing w:val="24"/>
        </w:rPr>
        <w:t> </w:t>
      </w:r>
      <w:r>
        <w:rPr>
          <w:color w:val="404040"/>
        </w:rPr>
        <w:t>(</w:t>
      </w:r>
      <w:r>
        <w:rPr>
          <w:b/>
          <w:color w:val="404040"/>
        </w:rPr>
        <w:t>57,8%</w:t>
      </w:r>
      <w:r>
        <w:rPr>
          <w:color w:val="404040"/>
        </w:rPr>
        <w:t>)</w:t>
      </w:r>
      <w:r>
        <w:rPr>
          <w:color w:val="404040"/>
          <w:spacing w:val="29"/>
        </w:rPr>
        <w:t> </w:t>
      </w:r>
      <w:r>
        <w:rPr>
          <w:color w:val="404040"/>
        </w:rPr>
        <w:t>e</w:t>
      </w:r>
      <w:r>
        <w:rPr>
          <w:color w:val="404040"/>
          <w:spacing w:val="25"/>
        </w:rPr>
        <w:t> </w:t>
      </w:r>
      <w:r>
        <w:rPr>
          <w:color w:val="404040"/>
        </w:rPr>
        <w:t>solo</w:t>
      </w:r>
      <w:r>
        <w:rPr>
          <w:color w:val="404040"/>
          <w:spacing w:val="28"/>
        </w:rPr>
        <w:t> </w:t>
      </w:r>
      <w:r>
        <w:rPr>
          <w:color w:val="404040"/>
        </w:rPr>
        <w:t>il</w:t>
      </w:r>
      <w:r>
        <w:rPr>
          <w:color w:val="404040"/>
          <w:spacing w:val="24"/>
        </w:rPr>
        <w:t> </w:t>
      </w:r>
      <w:r>
        <w:rPr>
          <w:b/>
          <w:color w:val="404040"/>
        </w:rPr>
        <w:t>13%</w:t>
      </w:r>
      <w:r>
        <w:rPr>
          <w:b/>
          <w:color w:val="404040"/>
          <w:spacing w:val="28"/>
        </w:rPr>
        <w:t> </w:t>
      </w:r>
      <w:r>
        <w:rPr>
          <w:color w:val="404040"/>
        </w:rPr>
        <w:t>degli</w:t>
      </w:r>
      <w:r>
        <w:rPr>
          <w:color w:val="404040"/>
          <w:spacing w:val="27"/>
        </w:rPr>
        <w:t> </w:t>
      </w:r>
      <w:r>
        <w:rPr>
          <w:color w:val="404040"/>
        </w:rPr>
        <w:t>stranieri</w:t>
      </w:r>
      <w:r>
        <w:rPr>
          <w:color w:val="404040"/>
          <w:spacing w:val="27"/>
        </w:rPr>
        <w:t> </w:t>
      </w:r>
      <w:r>
        <w:rPr>
          <w:color w:val="404040"/>
        </w:rPr>
        <w:t>in</w:t>
      </w:r>
      <w:r>
        <w:rPr>
          <w:color w:val="404040"/>
          <w:spacing w:val="-47"/>
        </w:rPr>
        <w:t> </w:t>
      </w:r>
      <w:r>
        <w:rPr>
          <w:color w:val="404040"/>
        </w:rPr>
        <w:t>Italia</w:t>
      </w:r>
      <w:r>
        <w:rPr>
          <w:color w:val="404040"/>
          <w:spacing w:val="-1"/>
        </w:rPr>
        <w:t> </w:t>
      </w:r>
      <w:r>
        <w:rPr>
          <w:color w:val="404040"/>
        </w:rPr>
        <w:t>è</w:t>
      </w:r>
      <w:r>
        <w:rPr>
          <w:color w:val="404040"/>
          <w:spacing w:val="1"/>
        </w:rPr>
        <w:t> </w:t>
      </w:r>
      <w:r>
        <w:rPr>
          <w:color w:val="404040"/>
        </w:rPr>
        <w:t>laureato, il</w:t>
      </w:r>
      <w:r>
        <w:rPr>
          <w:color w:val="404040"/>
          <w:spacing w:val="-3"/>
        </w:rPr>
        <w:t> </w:t>
      </w:r>
      <w:r>
        <w:rPr>
          <w:color w:val="404040"/>
        </w:rPr>
        <w:t>valore</w:t>
      </w:r>
      <w:r>
        <w:rPr>
          <w:color w:val="404040"/>
          <w:spacing w:val="1"/>
        </w:rPr>
        <w:t> </w:t>
      </w:r>
      <w:r>
        <w:rPr>
          <w:color w:val="404040"/>
        </w:rPr>
        <w:t>più</w:t>
      </w:r>
      <w:r>
        <w:rPr>
          <w:color w:val="404040"/>
          <w:spacing w:val="-1"/>
        </w:rPr>
        <w:t> </w:t>
      </w:r>
      <w:r>
        <w:rPr>
          <w:color w:val="404040"/>
        </w:rPr>
        <w:t>basso</w:t>
      </w:r>
      <w:r>
        <w:rPr>
          <w:color w:val="404040"/>
          <w:spacing w:val="-1"/>
        </w:rPr>
        <w:t> </w:t>
      </w:r>
      <w:r>
        <w:rPr>
          <w:color w:val="404040"/>
        </w:rPr>
        <w:t>tra</w:t>
      </w:r>
      <w:r>
        <w:rPr>
          <w:color w:val="404040"/>
          <w:spacing w:val="-1"/>
        </w:rPr>
        <w:t> </w:t>
      </w:r>
      <w:r>
        <w:rPr>
          <w:color w:val="404040"/>
        </w:rPr>
        <w:t>i</w:t>
      </w:r>
      <w:r>
        <w:rPr>
          <w:color w:val="404040"/>
          <w:spacing w:val="-3"/>
        </w:rPr>
        <w:t> </w:t>
      </w:r>
      <w:r>
        <w:rPr>
          <w:color w:val="404040"/>
        </w:rPr>
        <w:t>Paesi</w:t>
      </w:r>
      <w:r>
        <w:rPr>
          <w:color w:val="404040"/>
          <w:spacing w:val="-3"/>
        </w:rPr>
        <w:t> </w:t>
      </w:r>
      <w:r>
        <w:rPr>
          <w:color w:val="404040"/>
        </w:rPr>
        <w:t>OCSE.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839" w:right="111"/>
        <w:jc w:val="both"/>
      </w:pPr>
      <w:r>
        <w:rPr>
          <w:color w:val="404040"/>
        </w:rPr>
        <w:t>“Welfare, Italia” propone di potenziare i </w:t>
      </w:r>
      <w:r>
        <w:rPr>
          <w:b/>
          <w:color w:val="404040"/>
        </w:rPr>
        <w:t>centri per l’impiego </w:t>
      </w:r>
      <w:r>
        <w:rPr>
          <w:color w:val="404040"/>
        </w:rPr>
        <w:t>con l’obiettivo di efficientare e</w:t>
      </w:r>
      <w:r>
        <w:rPr>
          <w:color w:val="404040"/>
          <w:spacing w:val="1"/>
        </w:rPr>
        <w:t> </w:t>
      </w:r>
      <w:r>
        <w:rPr>
          <w:color w:val="404040"/>
        </w:rPr>
        <w:t>rendere attrattivo il mercato del lavoro nel complesso, tramite la creazione di banche dati</w:t>
      </w:r>
      <w:r>
        <w:rPr>
          <w:color w:val="404040"/>
          <w:spacing w:val="1"/>
        </w:rPr>
        <w:t> </w:t>
      </w:r>
      <w:r>
        <w:rPr>
          <w:color w:val="404040"/>
        </w:rPr>
        <w:t>nazionali e il tracciamento puntuale di ogni offerta di lavoro formulata, l’integrazione delle</w:t>
      </w:r>
      <w:r>
        <w:rPr>
          <w:color w:val="404040"/>
          <w:spacing w:val="1"/>
        </w:rPr>
        <w:t> </w:t>
      </w:r>
      <w:r>
        <w:rPr>
          <w:color w:val="404040"/>
        </w:rPr>
        <w:t>agenzie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intermediazione</w:t>
      </w:r>
      <w:r>
        <w:rPr>
          <w:color w:val="404040"/>
          <w:spacing w:val="1"/>
        </w:rPr>
        <w:t> </w:t>
      </w:r>
      <w:r>
        <w:rPr>
          <w:color w:val="404040"/>
        </w:rPr>
        <w:t>private</w:t>
      </w:r>
      <w:r>
        <w:rPr>
          <w:color w:val="404040"/>
          <w:spacing w:val="1"/>
        </w:rPr>
        <w:t> </w:t>
      </w:r>
      <w:r>
        <w:rPr>
          <w:color w:val="404040"/>
        </w:rPr>
        <w:t>nella</w:t>
      </w:r>
      <w:r>
        <w:rPr>
          <w:color w:val="404040"/>
          <w:spacing w:val="1"/>
        </w:rPr>
        <w:t> </w:t>
      </w:r>
      <w:r>
        <w:rPr>
          <w:color w:val="404040"/>
        </w:rPr>
        <w:t>selezione</w:t>
      </w:r>
      <w:r>
        <w:rPr>
          <w:color w:val="404040"/>
          <w:spacing w:val="1"/>
        </w:rPr>
        <w:t> </w:t>
      </w:r>
      <w:r>
        <w:rPr>
          <w:color w:val="404040"/>
        </w:rPr>
        <w:t>delle</w:t>
      </w:r>
      <w:r>
        <w:rPr>
          <w:color w:val="404040"/>
          <w:spacing w:val="1"/>
        </w:rPr>
        <w:t> </w:t>
      </w:r>
      <w:r>
        <w:rPr>
          <w:color w:val="404040"/>
        </w:rPr>
        <w:t>offerte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il</w:t>
      </w:r>
      <w:r>
        <w:rPr>
          <w:color w:val="404040"/>
          <w:spacing w:val="1"/>
        </w:rPr>
        <w:t> </w:t>
      </w:r>
      <w:r>
        <w:rPr>
          <w:color w:val="404040"/>
        </w:rPr>
        <w:t>rafforzamento</w:t>
      </w:r>
      <w:r>
        <w:rPr>
          <w:color w:val="404040"/>
          <w:spacing w:val="1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color w:val="404040"/>
        </w:rPr>
        <w:t>matching</w:t>
      </w:r>
      <w:r>
        <w:rPr>
          <w:color w:val="404040"/>
          <w:spacing w:val="1"/>
        </w:rPr>
        <w:t> </w:t>
      </w:r>
      <w:r>
        <w:rPr>
          <w:color w:val="404040"/>
        </w:rPr>
        <w:t>tra</w:t>
      </w:r>
      <w:r>
        <w:rPr>
          <w:color w:val="404040"/>
          <w:spacing w:val="1"/>
        </w:rPr>
        <w:t> </w:t>
      </w:r>
      <w:r>
        <w:rPr>
          <w:color w:val="404040"/>
        </w:rPr>
        <w:t>i</w:t>
      </w:r>
      <w:r>
        <w:rPr>
          <w:color w:val="404040"/>
          <w:spacing w:val="1"/>
        </w:rPr>
        <w:t> </w:t>
      </w:r>
      <w:r>
        <w:rPr>
          <w:color w:val="404040"/>
        </w:rPr>
        <w:t>fabbisogni</w:t>
      </w:r>
      <w:r>
        <w:rPr>
          <w:color w:val="404040"/>
          <w:spacing w:val="1"/>
        </w:rPr>
        <w:t> </w:t>
      </w:r>
      <w:r>
        <w:rPr>
          <w:color w:val="404040"/>
        </w:rPr>
        <w:t>professionali</w:t>
      </w:r>
      <w:r>
        <w:rPr>
          <w:color w:val="404040"/>
          <w:spacing w:val="1"/>
        </w:rPr>
        <w:t> </w:t>
      </w:r>
      <w:r>
        <w:rPr>
          <w:color w:val="404040"/>
        </w:rPr>
        <w:t>delle</w:t>
      </w:r>
      <w:r>
        <w:rPr>
          <w:color w:val="404040"/>
          <w:spacing w:val="1"/>
        </w:rPr>
        <w:t> </w:t>
      </w:r>
      <w:r>
        <w:rPr>
          <w:color w:val="404040"/>
        </w:rPr>
        <w:t>imprese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le</w:t>
      </w:r>
      <w:r>
        <w:rPr>
          <w:color w:val="404040"/>
          <w:spacing w:val="1"/>
        </w:rPr>
        <w:t> </w:t>
      </w:r>
      <w:r>
        <w:rPr>
          <w:color w:val="404040"/>
        </w:rPr>
        <w:t>competenze,</w:t>
      </w:r>
      <w:r>
        <w:rPr>
          <w:color w:val="404040"/>
          <w:spacing w:val="1"/>
        </w:rPr>
        <w:t> </w:t>
      </w:r>
      <w:r>
        <w:rPr>
          <w:color w:val="404040"/>
        </w:rPr>
        <w:t>anche</w:t>
      </w:r>
      <w:r>
        <w:rPr>
          <w:color w:val="404040"/>
          <w:spacing w:val="1"/>
        </w:rPr>
        <w:t> </w:t>
      </w:r>
      <w:r>
        <w:rPr>
          <w:color w:val="404040"/>
        </w:rPr>
        <w:t>tramite</w:t>
      </w:r>
      <w:r>
        <w:rPr>
          <w:color w:val="404040"/>
          <w:spacing w:val="1"/>
        </w:rPr>
        <w:t> </w:t>
      </w:r>
      <w:r>
        <w:rPr>
          <w:color w:val="404040"/>
        </w:rPr>
        <w:t>specifiche piattaforme</w:t>
      </w:r>
      <w:r>
        <w:rPr>
          <w:color w:val="404040"/>
          <w:spacing w:val="1"/>
        </w:rPr>
        <w:t> </w:t>
      </w:r>
      <w:r>
        <w:rPr>
          <w:color w:val="404040"/>
        </w:rPr>
        <w:t>digitali.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0"/>
          <w:numId w:val="3"/>
        </w:numPr>
        <w:tabs>
          <w:tab w:pos="828" w:val="left" w:leader="none"/>
        </w:tabs>
        <w:spacing w:line="240" w:lineRule="auto" w:before="0" w:after="0"/>
        <w:ind w:left="827" w:right="0" w:hanging="349"/>
        <w:jc w:val="left"/>
      </w:pPr>
      <w:r>
        <w:rPr>
          <w:color w:val="404040"/>
        </w:rPr>
        <w:t>Valorizzare</w:t>
      </w:r>
      <w:r>
        <w:rPr>
          <w:color w:val="404040"/>
          <w:spacing w:val="-5"/>
        </w:rPr>
        <w:t> </w:t>
      </w:r>
      <w:r>
        <w:rPr>
          <w:color w:val="404040"/>
        </w:rPr>
        <w:t>il</w:t>
      </w:r>
      <w:r>
        <w:rPr>
          <w:color w:val="404040"/>
          <w:spacing w:val="-3"/>
        </w:rPr>
        <w:t> </w:t>
      </w:r>
      <w:r>
        <w:rPr>
          <w:color w:val="404040"/>
        </w:rPr>
        <w:t>contributo</w:t>
      </w:r>
      <w:r>
        <w:rPr>
          <w:color w:val="404040"/>
          <w:spacing w:val="-3"/>
        </w:rPr>
        <w:t> </w:t>
      </w:r>
      <w:r>
        <w:rPr>
          <w:color w:val="404040"/>
        </w:rPr>
        <w:t>della</w:t>
      </w:r>
      <w:r>
        <w:rPr>
          <w:color w:val="404040"/>
          <w:spacing w:val="-3"/>
        </w:rPr>
        <w:t> </w:t>
      </w:r>
      <w:r>
        <w:rPr>
          <w:color w:val="404040"/>
        </w:rPr>
        <w:t>componente</w:t>
      </w:r>
      <w:r>
        <w:rPr>
          <w:color w:val="404040"/>
          <w:spacing w:val="-3"/>
        </w:rPr>
        <w:t> </w:t>
      </w:r>
      <w:r>
        <w:rPr>
          <w:color w:val="404040"/>
        </w:rPr>
        <w:t>previdenziale</w:t>
      </w:r>
      <w:r>
        <w:rPr>
          <w:color w:val="404040"/>
          <w:spacing w:val="-5"/>
        </w:rPr>
        <w:t> </w:t>
      </w:r>
      <w:r>
        <w:rPr>
          <w:color w:val="404040"/>
        </w:rPr>
        <w:t>integrativa</w:t>
      </w:r>
    </w:p>
    <w:p>
      <w:pPr>
        <w:pStyle w:val="BodyText"/>
        <w:rPr>
          <w:b/>
        </w:rPr>
      </w:pPr>
    </w:p>
    <w:p>
      <w:pPr>
        <w:pStyle w:val="BodyText"/>
        <w:ind w:left="839" w:right="111"/>
        <w:jc w:val="both"/>
      </w:pPr>
      <w:r>
        <w:rPr>
          <w:color w:val="404040"/>
        </w:rPr>
        <w:t>L’aumento della spesa previdenziale non potrà essere gestito senza un adeguato contributo</w:t>
      </w:r>
      <w:r>
        <w:rPr>
          <w:color w:val="404040"/>
          <w:spacing w:val="1"/>
        </w:rPr>
        <w:t> </w:t>
      </w:r>
      <w:r>
        <w:rPr>
          <w:color w:val="404040"/>
        </w:rPr>
        <w:t>del settore privato che, tuttavia, ad oggi risulta sotto-valorizzato: in Italia la </w:t>
      </w:r>
      <w:r>
        <w:rPr>
          <w:b/>
          <w:color w:val="404040"/>
        </w:rPr>
        <w:t>partecipazione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alle forme di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previdenza integrativa </w:t>
      </w:r>
      <w:r>
        <w:rPr>
          <w:color w:val="404040"/>
        </w:rPr>
        <w:t>è pari</w:t>
      </w:r>
      <w:r>
        <w:rPr>
          <w:color w:val="404040"/>
          <w:spacing w:val="1"/>
        </w:rPr>
        <w:t> </w:t>
      </w:r>
      <w:r>
        <w:rPr>
          <w:color w:val="404040"/>
        </w:rPr>
        <w:t>al </w:t>
      </w:r>
      <w:r>
        <w:rPr>
          <w:b/>
          <w:color w:val="404040"/>
        </w:rPr>
        <w:t>34,7% </w:t>
      </w:r>
      <w:r>
        <w:rPr>
          <w:color w:val="404040"/>
        </w:rPr>
        <w:t>dei lavoratori (vs. 55%</w:t>
      </w:r>
      <w:r>
        <w:rPr>
          <w:color w:val="404040"/>
          <w:spacing w:val="49"/>
        </w:rPr>
        <w:t> </w:t>
      </w:r>
      <w:r>
        <w:rPr>
          <w:color w:val="404040"/>
        </w:rPr>
        <w:t>in Germania e</w:t>
      </w:r>
      <w:r>
        <w:rPr>
          <w:color w:val="404040"/>
          <w:spacing w:val="1"/>
        </w:rPr>
        <w:t> </w:t>
      </w:r>
      <w:r>
        <w:rPr>
          <w:color w:val="404040"/>
        </w:rPr>
        <w:t>88% nei Paesi Bassi) e, se si considerano gli individui che nel 2021 hanno </w:t>
      </w:r>
      <w:r>
        <w:rPr>
          <w:b/>
          <w:color w:val="404040"/>
        </w:rPr>
        <w:t>versato contributi</w:t>
      </w:r>
      <w:r>
        <w:rPr>
          <w:b/>
          <w:color w:val="404040"/>
          <w:spacing w:val="1"/>
        </w:rPr>
        <w:t> </w:t>
      </w:r>
      <w:r>
        <w:rPr>
          <w:color w:val="404040"/>
        </w:rPr>
        <w:t>nei fondi previdenziali, il tasso di partecipazione si ferma al </w:t>
      </w:r>
      <w:r>
        <w:rPr>
          <w:b/>
          <w:color w:val="404040"/>
        </w:rPr>
        <w:t>25,4%</w:t>
      </w:r>
      <w:r>
        <w:rPr>
          <w:color w:val="404040"/>
        </w:rPr>
        <w:t>. A questo si aggiungono</w:t>
      </w:r>
      <w:r>
        <w:rPr>
          <w:color w:val="404040"/>
          <w:spacing w:val="1"/>
        </w:rPr>
        <w:t> </w:t>
      </w:r>
      <w:r>
        <w:rPr>
          <w:color w:val="404040"/>
        </w:rPr>
        <w:t>importanti </w:t>
      </w:r>
      <w:r>
        <w:rPr>
          <w:b/>
          <w:color w:val="404040"/>
        </w:rPr>
        <w:t>differenze </w:t>
      </w:r>
      <w:r>
        <w:rPr>
          <w:color w:val="404040"/>
        </w:rPr>
        <w:t>territoriali (dal tasso di partecipazione del 57,5% del Trentino-Alto</w:t>
      </w:r>
      <w:r>
        <w:rPr>
          <w:color w:val="404040"/>
          <w:spacing w:val="1"/>
        </w:rPr>
        <w:t> </w:t>
      </w:r>
      <w:r>
        <w:rPr>
          <w:color w:val="404040"/>
        </w:rPr>
        <w:t>Adige al 25,2% della Sardegna), di genere (30,9% tra le donne e 37,5% tra gli uomini), ma</w:t>
      </w:r>
      <w:r>
        <w:rPr>
          <w:color w:val="404040"/>
          <w:spacing w:val="1"/>
        </w:rPr>
        <w:t> </w:t>
      </w:r>
      <w:r>
        <w:rPr>
          <w:color w:val="404040"/>
        </w:rPr>
        <w:t>anche di</w:t>
      </w:r>
      <w:r>
        <w:rPr>
          <w:color w:val="404040"/>
          <w:spacing w:val="-1"/>
        </w:rPr>
        <w:t> </w:t>
      </w:r>
      <w:r>
        <w:rPr>
          <w:color w:val="404040"/>
        </w:rPr>
        <w:t>età</w:t>
      </w:r>
      <w:r>
        <w:rPr>
          <w:color w:val="404040"/>
          <w:spacing w:val="-2"/>
        </w:rPr>
        <w:t> </w:t>
      </w:r>
      <w:r>
        <w:rPr>
          <w:color w:val="404040"/>
        </w:rPr>
        <w:t>(23,9%</w:t>
      </w:r>
      <w:r>
        <w:rPr>
          <w:color w:val="404040"/>
          <w:spacing w:val="1"/>
        </w:rPr>
        <w:t> </w:t>
      </w:r>
      <w:r>
        <w:rPr>
          <w:color w:val="404040"/>
        </w:rPr>
        <w:t>negli</w:t>
      </w:r>
      <w:r>
        <w:rPr>
          <w:color w:val="404040"/>
          <w:spacing w:val="-1"/>
        </w:rPr>
        <w:t> </w:t>
      </w:r>
      <w:r>
        <w:rPr>
          <w:color w:val="404040"/>
        </w:rPr>
        <w:t>under-35,</w:t>
      </w:r>
      <w:r>
        <w:rPr>
          <w:color w:val="404040"/>
          <w:spacing w:val="-2"/>
        </w:rPr>
        <w:t> </w:t>
      </w:r>
      <w:r>
        <w:rPr>
          <w:color w:val="404040"/>
        </w:rPr>
        <w:t>rispetto al</w:t>
      </w:r>
      <w:r>
        <w:rPr>
          <w:color w:val="404040"/>
          <w:spacing w:val="-2"/>
        </w:rPr>
        <w:t> </w:t>
      </w:r>
      <w:r>
        <w:rPr>
          <w:color w:val="404040"/>
        </w:rPr>
        <w:t>45,1%</w:t>
      </w:r>
      <w:r>
        <w:rPr>
          <w:color w:val="404040"/>
          <w:spacing w:val="-3"/>
        </w:rPr>
        <w:t> </w:t>
      </w:r>
      <w:r>
        <w:rPr>
          <w:color w:val="404040"/>
        </w:rPr>
        <w:t>nella fascia</w:t>
      </w:r>
      <w:r>
        <w:rPr>
          <w:color w:val="404040"/>
          <w:spacing w:val="-4"/>
        </w:rPr>
        <w:t> </w:t>
      </w:r>
      <w:r>
        <w:rPr>
          <w:color w:val="404040"/>
        </w:rPr>
        <w:t>55-64</w:t>
      </w:r>
      <w:r>
        <w:rPr>
          <w:color w:val="404040"/>
          <w:spacing w:val="-1"/>
        </w:rPr>
        <w:t> </w:t>
      </w:r>
      <w:r>
        <w:rPr>
          <w:color w:val="404040"/>
        </w:rPr>
        <w:t>anni).</w:t>
      </w:r>
    </w:p>
    <w:p>
      <w:pPr>
        <w:pStyle w:val="BodyText"/>
        <w:spacing w:before="12"/>
        <w:rPr>
          <w:sz w:val="21"/>
        </w:rPr>
      </w:pPr>
    </w:p>
    <w:p>
      <w:pPr>
        <w:spacing w:before="0"/>
        <w:ind w:left="838" w:right="111" w:firstLine="0"/>
        <w:jc w:val="both"/>
        <w:rPr>
          <w:sz w:val="22"/>
        </w:rPr>
      </w:pPr>
      <w:r>
        <w:rPr>
          <w:color w:val="404040"/>
          <w:sz w:val="22"/>
        </w:rPr>
        <w:t>In questa prospettiva, l’indirizzo del Think Tank “Welfare, Italia” si sostanzia lungo tre ambiti,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connessi all’</w:t>
      </w:r>
      <w:r>
        <w:rPr>
          <w:b/>
          <w:color w:val="404040"/>
          <w:sz w:val="22"/>
        </w:rPr>
        <w:t>ampliamento della previdenza integrativa </w:t>
      </w:r>
      <w:r>
        <w:rPr>
          <w:color w:val="404040"/>
          <w:sz w:val="22"/>
        </w:rPr>
        <w:t>(con la previsione di una posizione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previdenziale integrativa per tutti i nuovi nati), alla </w:t>
      </w:r>
      <w:r>
        <w:rPr>
          <w:b/>
          <w:color w:val="404040"/>
          <w:sz w:val="22"/>
        </w:rPr>
        <w:t>maggiore flessibilità della previdenza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complementare </w:t>
      </w:r>
      <w:r>
        <w:rPr>
          <w:color w:val="404040"/>
          <w:sz w:val="22"/>
        </w:rPr>
        <w:t>(portabilità della deducibilità fiscale, anticipazioni straordinarie in caso di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emergenze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trasferimento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ai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figli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della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posizione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maturata)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alla</w:t>
      </w:r>
      <w:r>
        <w:rPr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cultura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del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welfare</w:t>
      </w:r>
      <w:r>
        <w:rPr>
          <w:b/>
          <w:color w:val="404040"/>
          <w:spacing w:val="1"/>
          <w:sz w:val="22"/>
        </w:rPr>
        <w:t> </w:t>
      </w:r>
      <w:r>
        <w:rPr>
          <w:color w:val="404040"/>
          <w:sz w:val="22"/>
        </w:rPr>
        <w:t>(attraverso campagne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di</w:t>
      </w:r>
      <w:r>
        <w:rPr>
          <w:color w:val="404040"/>
          <w:spacing w:val="-3"/>
          <w:sz w:val="22"/>
        </w:rPr>
        <w:t> </w:t>
      </w:r>
      <w:r>
        <w:rPr>
          <w:color w:val="404040"/>
          <w:sz w:val="22"/>
        </w:rPr>
        <w:t>sensibilizzazione 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informazione).</w:t>
      </w:r>
    </w:p>
    <w:p>
      <w:pPr>
        <w:pStyle w:val="BodyText"/>
        <w:spacing w:before="1"/>
      </w:pPr>
    </w:p>
    <w:p>
      <w:pPr>
        <w:pStyle w:val="Heading1"/>
        <w:numPr>
          <w:ilvl w:val="0"/>
          <w:numId w:val="3"/>
        </w:numPr>
        <w:tabs>
          <w:tab w:pos="827" w:val="left" w:leader="none"/>
        </w:tabs>
        <w:spacing w:line="240" w:lineRule="auto" w:before="0" w:after="0"/>
        <w:ind w:left="838" w:right="112" w:hanging="360"/>
        <w:jc w:val="left"/>
      </w:pPr>
      <w:r>
        <w:rPr>
          <w:color w:val="404040"/>
        </w:rPr>
        <w:t>Favorire</w:t>
      </w:r>
      <w:r>
        <w:rPr>
          <w:color w:val="404040"/>
          <w:spacing w:val="11"/>
        </w:rPr>
        <w:t> </w:t>
      </w:r>
      <w:r>
        <w:rPr>
          <w:color w:val="404040"/>
        </w:rPr>
        <w:t>l’allargamento</w:t>
      </w:r>
      <w:r>
        <w:rPr>
          <w:color w:val="404040"/>
          <w:spacing w:val="14"/>
        </w:rPr>
        <w:t> </w:t>
      </w:r>
      <w:r>
        <w:rPr>
          <w:color w:val="404040"/>
        </w:rPr>
        <w:t>dell’offerta</w:t>
      </w:r>
      <w:r>
        <w:rPr>
          <w:color w:val="404040"/>
          <w:spacing w:val="13"/>
        </w:rPr>
        <w:t> </w:t>
      </w:r>
      <w:r>
        <w:rPr>
          <w:color w:val="404040"/>
        </w:rPr>
        <w:t>dei</w:t>
      </w:r>
      <w:r>
        <w:rPr>
          <w:color w:val="404040"/>
          <w:spacing w:val="16"/>
        </w:rPr>
        <w:t> </w:t>
      </w:r>
      <w:r>
        <w:rPr>
          <w:color w:val="404040"/>
        </w:rPr>
        <w:t>servizi</w:t>
      </w:r>
      <w:r>
        <w:rPr>
          <w:color w:val="404040"/>
          <w:spacing w:val="15"/>
        </w:rPr>
        <w:t> </w:t>
      </w:r>
      <w:r>
        <w:rPr>
          <w:color w:val="404040"/>
        </w:rPr>
        <w:t>di</w:t>
      </w:r>
      <w:r>
        <w:rPr>
          <w:color w:val="404040"/>
          <w:spacing w:val="16"/>
        </w:rPr>
        <w:t> </w:t>
      </w:r>
      <w:r>
        <w:rPr>
          <w:color w:val="404040"/>
        </w:rPr>
        <w:t>welfare</w:t>
      </w:r>
      <w:r>
        <w:rPr>
          <w:color w:val="404040"/>
          <w:spacing w:val="14"/>
        </w:rPr>
        <w:t> </w:t>
      </w:r>
      <w:r>
        <w:rPr>
          <w:color w:val="404040"/>
        </w:rPr>
        <w:t>attraverso</w:t>
      </w:r>
      <w:r>
        <w:rPr>
          <w:color w:val="404040"/>
          <w:spacing w:val="13"/>
        </w:rPr>
        <w:t> </w:t>
      </w:r>
      <w:r>
        <w:rPr>
          <w:color w:val="404040"/>
        </w:rPr>
        <w:t>le</w:t>
      </w:r>
      <w:r>
        <w:rPr>
          <w:color w:val="404040"/>
          <w:spacing w:val="14"/>
        </w:rPr>
        <w:t> </w:t>
      </w:r>
      <w:r>
        <w:rPr>
          <w:color w:val="404040"/>
        </w:rPr>
        <w:t>soluzioni</w:t>
      </w:r>
      <w:r>
        <w:rPr>
          <w:color w:val="404040"/>
          <w:spacing w:val="15"/>
        </w:rPr>
        <w:t> </w:t>
      </w:r>
      <w:r>
        <w:rPr>
          <w:color w:val="404040"/>
        </w:rPr>
        <w:t>di</w:t>
      </w:r>
      <w:r>
        <w:rPr>
          <w:color w:val="404040"/>
          <w:spacing w:val="14"/>
        </w:rPr>
        <w:t> </w:t>
      </w:r>
      <w:r>
        <w:rPr>
          <w:color w:val="404040"/>
        </w:rPr>
        <w:t>welfare</w:t>
      </w:r>
      <w:r>
        <w:rPr>
          <w:color w:val="404040"/>
          <w:spacing w:val="-47"/>
        </w:rPr>
        <w:t> </w:t>
      </w:r>
      <w:r>
        <w:rPr>
          <w:color w:val="404040"/>
        </w:rPr>
        <w:t>contrattuale</w:t>
      </w:r>
      <w:r>
        <w:rPr>
          <w:color w:val="404040"/>
          <w:spacing w:val="-2"/>
        </w:rPr>
        <w:t> </w:t>
      </w:r>
      <w:r>
        <w:rPr>
          <w:color w:val="404040"/>
        </w:rPr>
        <w:t>e</w:t>
      </w:r>
      <w:r>
        <w:rPr>
          <w:color w:val="404040"/>
          <w:spacing w:val="-1"/>
        </w:rPr>
        <w:t> </w:t>
      </w:r>
      <w:r>
        <w:rPr>
          <w:color w:val="404040"/>
        </w:rPr>
        <w:t>aziendale</w:t>
      </w: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827" w:right="112" w:firstLine="0"/>
        <w:jc w:val="both"/>
        <w:rPr>
          <w:sz w:val="22"/>
        </w:rPr>
      </w:pPr>
      <w:r>
        <w:rPr>
          <w:color w:val="404040"/>
          <w:sz w:val="22"/>
        </w:rPr>
        <w:t>Al 2021 la </w:t>
      </w:r>
      <w:r>
        <w:rPr>
          <w:b/>
          <w:color w:val="404040"/>
          <w:sz w:val="22"/>
        </w:rPr>
        <w:t>spesa sanitaria privata </w:t>
      </w:r>
      <w:r>
        <w:rPr>
          <w:color w:val="404040"/>
          <w:sz w:val="22"/>
        </w:rPr>
        <w:t>ha raggiunto i </w:t>
      </w:r>
      <w:r>
        <w:rPr>
          <w:b/>
          <w:color w:val="404040"/>
          <w:sz w:val="22"/>
        </w:rPr>
        <w:t>41 miliardi di euro </w:t>
      </w:r>
      <w:r>
        <w:rPr>
          <w:color w:val="404040"/>
          <w:sz w:val="22"/>
        </w:rPr>
        <w:t>(+7,4% rispetto al 2020),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rappresentando il 24,4% della spesa sanitaria totale e l’Italia è il </w:t>
      </w:r>
      <w:r>
        <w:rPr>
          <w:b/>
          <w:color w:val="404040"/>
          <w:sz w:val="22"/>
        </w:rPr>
        <w:t>1° </w:t>
      </w:r>
      <w:r>
        <w:rPr>
          <w:color w:val="404040"/>
          <w:sz w:val="22"/>
        </w:rPr>
        <w:t>Paese tra i </w:t>
      </w:r>
      <w:r>
        <w:rPr>
          <w:i/>
          <w:color w:val="404040"/>
          <w:sz w:val="22"/>
        </w:rPr>
        <w:t>Big</w:t>
      </w:r>
      <w:r>
        <w:rPr>
          <w:color w:val="404040"/>
          <w:sz w:val="22"/>
        </w:rPr>
        <w:t>-5 europei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per</w:t>
      </w:r>
      <w:r>
        <w:rPr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spesa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out-of-pocket</w:t>
      </w:r>
      <w:r>
        <w:rPr>
          <w:b/>
          <w:color w:val="404040"/>
          <w:spacing w:val="1"/>
          <w:sz w:val="22"/>
        </w:rPr>
        <w:t> </w:t>
      </w:r>
      <w:r>
        <w:rPr>
          <w:color w:val="404040"/>
          <w:sz w:val="22"/>
        </w:rPr>
        <w:t>sostenuta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dalle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famiglie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italiane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sul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totale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della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spesa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sanitaria</w:t>
      </w:r>
      <w:r>
        <w:rPr>
          <w:color w:val="404040"/>
          <w:spacing w:val="-47"/>
          <w:sz w:val="22"/>
        </w:rPr>
        <w:t> </w:t>
      </w:r>
      <w:r>
        <w:rPr>
          <w:color w:val="404040"/>
          <w:sz w:val="22"/>
        </w:rPr>
        <w:t>privata</w:t>
      </w:r>
      <w:r>
        <w:rPr>
          <w:color w:val="404040"/>
          <w:spacing w:val="-1"/>
          <w:sz w:val="22"/>
        </w:rPr>
        <w:t> </w:t>
      </w:r>
      <w:r>
        <w:rPr>
          <w:color w:val="404040"/>
          <w:sz w:val="22"/>
        </w:rPr>
        <w:t>(</w:t>
      </w:r>
      <w:r>
        <w:rPr>
          <w:b/>
          <w:color w:val="404040"/>
          <w:sz w:val="22"/>
        </w:rPr>
        <w:t>89,1%</w:t>
      </w:r>
      <w:r>
        <w:rPr>
          <w:color w:val="404040"/>
          <w:sz w:val="22"/>
        </w:rPr>
        <w:t>).</w:t>
      </w:r>
    </w:p>
    <w:p>
      <w:pPr>
        <w:pStyle w:val="BodyText"/>
        <w:spacing w:before="1"/>
      </w:pPr>
    </w:p>
    <w:p>
      <w:pPr>
        <w:pStyle w:val="BodyText"/>
        <w:ind w:left="827" w:right="112"/>
        <w:jc w:val="both"/>
      </w:pPr>
      <w:r>
        <w:rPr>
          <w:color w:val="404040"/>
        </w:rPr>
        <w:t>L’indirizzo operativo è quello di promuovere la definizione del perimetro delle prestazioni</w:t>
      </w:r>
      <w:r>
        <w:rPr>
          <w:color w:val="404040"/>
          <w:spacing w:val="1"/>
        </w:rPr>
        <w:t> </w:t>
      </w:r>
      <w:r>
        <w:rPr>
          <w:color w:val="404040"/>
        </w:rPr>
        <w:t>sanitarie</w:t>
      </w:r>
      <w:r>
        <w:rPr>
          <w:color w:val="404040"/>
          <w:spacing w:val="12"/>
        </w:rPr>
        <w:t> </w:t>
      </w:r>
      <w:r>
        <w:rPr>
          <w:color w:val="404040"/>
        </w:rPr>
        <w:t>integrative</w:t>
      </w:r>
      <w:r>
        <w:rPr>
          <w:color w:val="404040"/>
          <w:spacing w:val="11"/>
        </w:rPr>
        <w:t> </w:t>
      </w:r>
      <w:r>
        <w:rPr>
          <w:color w:val="404040"/>
        </w:rPr>
        <w:t>(la</w:t>
      </w:r>
      <w:r>
        <w:rPr>
          <w:color w:val="404040"/>
          <w:spacing w:val="10"/>
        </w:rPr>
        <w:t> </w:t>
      </w:r>
      <w:r>
        <w:rPr>
          <w:color w:val="404040"/>
        </w:rPr>
        <w:t>cui</w:t>
      </w:r>
      <w:r>
        <w:rPr>
          <w:color w:val="404040"/>
          <w:spacing w:val="10"/>
        </w:rPr>
        <w:t> </w:t>
      </w:r>
      <w:r>
        <w:rPr>
          <w:color w:val="404040"/>
        </w:rPr>
        <w:t>disciplina</w:t>
      </w:r>
      <w:r>
        <w:rPr>
          <w:color w:val="404040"/>
          <w:spacing w:val="11"/>
        </w:rPr>
        <w:t> </w:t>
      </w:r>
      <w:r>
        <w:rPr>
          <w:color w:val="404040"/>
        </w:rPr>
        <w:t>è</w:t>
      </w:r>
      <w:r>
        <w:rPr>
          <w:color w:val="404040"/>
          <w:spacing w:val="8"/>
        </w:rPr>
        <w:t> </w:t>
      </w:r>
      <w:r>
        <w:rPr>
          <w:color w:val="404040"/>
        </w:rPr>
        <w:t>oggi</w:t>
      </w:r>
      <w:r>
        <w:rPr>
          <w:color w:val="404040"/>
          <w:spacing w:val="10"/>
        </w:rPr>
        <w:t> </w:t>
      </w:r>
      <w:r>
        <w:rPr>
          <w:color w:val="404040"/>
        </w:rPr>
        <w:t>meno</w:t>
      </w:r>
      <w:r>
        <w:rPr>
          <w:color w:val="404040"/>
          <w:spacing w:val="14"/>
        </w:rPr>
        <w:t> </w:t>
      </w:r>
      <w:r>
        <w:rPr>
          <w:color w:val="404040"/>
        </w:rPr>
        <w:t>sviluppata</w:t>
      </w:r>
      <w:r>
        <w:rPr>
          <w:color w:val="404040"/>
          <w:spacing w:val="11"/>
        </w:rPr>
        <w:t> </w:t>
      </w:r>
      <w:r>
        <w:rPr>
          <w:color w:val="404040"/>
        </w:rPr>
        <w:t>rispetto</w:t>
      </w:r>
      <w:r>
        <w:rPr>
          <w:color w:val="404040"/>
          <w:spacing w:val="11"/>
        </w:rPr>
        <w:t> </w:t>
      </w:r>
      <w:r>
        <w:rPr>
          <w:color w:val="404040"/>
        </w:rPr>
        <w:t>ai</w:t>
      </w:r>
      <w:r>
        <w:rPr>
          <w:color w:val="404040"/>
          <w:spacing w:val="10"/>
        </w:rPr>
        <w:t> </w:t>
      </w:r>
      <w:r>
        <w:rPr>
          <w:color w:val="404040"/>
        </w:rPr>
        <w:t>sistemi</w:t>
      </w:r>
      <w:r>
        <w:rPr>
          <w:color w:val="404040"/>
          <w:spacing w:val="12"/>
        </w:rPr>
        <w:t> </w:t>
      </w:r>
      <w:r>
        <w:rPr>
          <w:color w:val="404040"/>
        </w:rPr>
        <w:t>integrativi</w:t>
      </w:r>
      <w:r>
        <w:rPr>
          <w:color w:val="404040"/>
          <w:spacing w:val="10"/>
        </w:rPr>
        <w:t> </w:t>
      </w:r>
      <w:r>
        <w:rPr>
          <w:color w:val="404040"/>
        </w:rPr>
        <w:t>di</w:t>
      </w:r>
    </w:p>
    <w:p>
      <w:pPr>
        <w:spacing w:after="0"/>
        <w:jc w:val="both"/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57"/>
        <w:ind w:left="826" w:right="113"/>
        <w:jc w:val="both"/>
      </w:pPr>
      <w:r>
        <w:rPr>
          <w:color w:val="404040"/>
        </w:rPr>
        <w:t>tipo previdenziale) e un sistema di monitoraggio puntuale delle attività dei fondi sanitari. In</w:t>
      </w:r>
      <w:r>
        <w:rPr>
          <w:color w:val="404040"/>
          <w:spacing w:val="1"/>
        </w:rPr>
        <w:t> </w:t>
      </w:r>
      <w:r>
        <w:rPr>
          <w:color w:val="404040"/>
        </w:rPr>
        <w:t>questo</w:t>
      </w:r>
      <w:r>
        <w:rPr>
          <w:color w:val="404040"/>
          <w:spacing w:val="14"/>
        </w:rPr>
        <w:t> </w:t>
      </w:r>
      <w:r>
        <w:rPr>
          <w:color w:val="404040"/>
        </w:rPr>
        <w:t>scenario,</w:t>
      </w:r>
      <w:r>
        <w:rPr>
          <w:color w:val="404040"/>
          <w:spacing w:val="13"/>
        </w:rPr>
        <w:t> </w:t>
      </w:r>
      <w:r>
        <w:rPr>
          <w:color w:val="404040"/>
        </w:rPr>
        <w:t>il</w:t>
      </w:r>
      <w:r>
        <w:rPr>
          <w:color w:val="404040"/>
          <w:spacing w:val="13"/>
        </w:rPr>
        <w:t> </w:t>
      </w:r>
      <w:r>
        <w:rPr>
          <w:color w:val="404040"/>
        </w:rPr>
        <w:t>sistema</w:t>
      </w:r>
      <w:r>
        <w:rPr>
          <w:color w:val="404040"/>
          <w:spacing w:val="13"/>
        </w:rPr>
        <w:t> </w:t>
      </w:r>
      <w:r>
        <w:rPr>
          <w:color w:val="404040"/>
        </w:rPr>
        <w:t>dei</w:t>
      </w:r>
      <w:r>
        <w:rPr>
          <w:color w:val="404040"/>
          <w:spacing w:val="13"/>
        </w:rPr>
        <w:t> </w:t>
      </w:r>
      <w:r>
        <w:rPr>
          <w:b/>
          <w:color w:val="404040"/>
        </w:rPr>
        <w:t>fondi</w:t>
      </w:r>
      <w:r>
        <w:rPr>
          <w:b/>
          <w:color w:val="404040"/>
          <w:spacing w:val="14"/>
        </w:rPr>
        <w:t> </w:t>
      </w:r>
      <w:r>
        <w:rPr>
          <w:b/>
          <w:color w:val="404040"/>
        </w:rPr>
        <w:t>sanitari</w:t>
      </w:r>
      <w:r>
        <w:rPr>
          <w:b/>
          <w:color w:val="404040"/>
          <w:spacing w:val="14"/>
        </w:rPr>
        <w:t> </w:t>
      </w:r>
      <w:r>
        <w:rPr>
          <w:b/>
          <w:color w:val="404040"/>
        </w:rPr>
        <w:t>integrativi</w:t>
      </w:r>
      <w:r>
        <w:rPr>
          <w:b/>
          <w:color w:val="404040"/>
          <w:spacing w:val="14"/>
        </w:rPr>
        <w:t> </w:t>
      </w:r>
      <w:r>
        <w:rPr>
          <w:color w:val="404040"/>
        </w:rPr>
        <w:t>è</w:t>
      </w:r>
      <w:r>
        <w:rPr>
          <w:color w:val="404040"/>
          <w:spacing w:val="14"/>
        </w:rPr>
        <w:t> </w:t>
      </w:r>
      <w:r>
        <w:rPr>
          <w:color w:val="404040"/>
        </w:rPr>
        <w:t>caratterizzato</w:t>
      </w:r>
      <w:r>
        <w:rPr>
          <w:color w:val="404040"/>
          <w:spacing w:val="14"/>
        </w:rPr>
        <w:t> </w:t>
      </w:r>
      <w:r>
        <w:rPr>
          <w:color w:val="404040"/>
        </w:rPr>
        <w:t>da</w:t>
      </w:r>
      <w:r>
        <w:rPr>
          <w:color w:val="404040"/>
          <w:spacing w:val="13"/>
        </w:rPr>
        <w:t> </w:t>
      </w:r>
      <w:r>
        <w:rPr>
          <w:color w:val="404040"/>
        </w:rPr>
        <w:t>tre</w:t>
      </w:r>
      <w:r>
        <w:rPr>
          <w:color w:val="404040"/>
          <w:spacing w:val="14"/>
        </w:rPr>
        <w:t> </w:t>
      </w:r>
      <w:r>
        <w:rPr>
          <w:color w:val="404040"/>
        </w:rPr>
        <w:t>grandi</w:t>
      </w:r>
    </w:p>
    <w:p>
      <w:pPr>
        <w:pStyle w:val="BodyText"/>
        <w:ind w:left="826" w:right="111"/>
        <w:jc w:val="both"/>
      </w:pPr>
      <w:r>
        <w:rPr>
          <w:color w:val="404040"/>
        </w:rPr>
        <w:t>«questioni aperte»: </w:t>
      </w:r>
      <w:r>
        <w:rPr>
          <w:b/>
          <w:color w:val="404040"/>
        </w:rPr>
        <w:t>i) </w:t>
      </w:r>
      <w:r>
        <w:rPr>
          <w:color w:val="404040"/>
        </w:rPr>
        <w:t>la definizione delle prestazioni integrative; </w:t>
      </w:r>
      <w:r>
        <w:rPr>
          <w:b/>
          <w:color w:val="404040"/>
        </w:rPr>
        <w:t>ii) </w:t>
      </w:r>
      <w:r>
        <w:rPr>
          <w:color w:val="404040"/>
        </w:rPr>
        <w:t>l’identificazione di un</w:t>
      </w:r>
      <w:r>
        <w:rPr>
          <w:color w:val="404040"/>
          <w:spacing w:val="1"/>
        </w:rPr>
        <w:t> </w:t>
      </w:r>
      <w:r>
        <w:rPr>
          <w:color w:val="404040"/>
        </w:rPr>
        <w:t>sistema di monitoraggio puntuale delle attività dei fondi (oggi rimesso a più enti); </w:t>
      </w:r>
      <w:r>
        <w:rPr>
          <w:b/>
          <w:color w:val="404040"/>
        </w:rPr>
        <w:t>iii) </w:t>
      </w: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color w:val="404040"/>
        </w:rPr>
        <w:t>raccolta</w:t>
      </w:r>
      <w:r>
        <w:rPr>
          <w:color w:val="404040"/>
          <w:spacing w:val="-1"/>
        </w:rPr>
        <w:t> </w:t>
      </w:r>
      <w:r>
        <w:rPr>
          <w:color w:val="404040"/>
        </w:rPr>
        <w:t>di dati</w:t>
      </w:r>
      <w:r>
        <w:rPr>
          <w:color w:val="404040"/>
          <w:spacing w:val="-3"/>
        </w:rPr>
        <w:t> </w:t>
      </w:r>
      <w:r>
        <w:rPr>
          <w:color w:val="404040"/>
        </w:rPr>
        <w:t>sulle attività dei fondi.</w:t>
      </w:r>
    </w:p>
    <w:p>
      <w:pPr>
        <w:pStyle w:val="BodyText"/>
        <w:spacing w:before="10"/>
        <w:rPr>
          <w:sz w:val="21"/>
        </w:rPr>
      </w:pPr>
    </w:p>
    <w:p>
      <w:pPr>
        <w:pStyle w:val="Heading1"/>
        <w:numPr>
          <w:ilvl w:val="0"/>
          <w:numId w:val="3"/>
        </w:numPr>
        <w:tabs>
          <w:tab w:pos="827" w:val="left" w:leader="none"/>
        </w:tabs>
        <w:spacing w:line="240" w:lineRule="auto" w:before="1" w:after="0"/>
        <w:ind w:left="838" w:right="113" w:hanging="360"/>
        <w:jc w:val="left"/>
      </w:pPr>
      <w:r>
        <w:rPr>
          <w:color w:val="404040"/>
        </w:rPr>
        <w:t>Ridefinire</w:t>
      </w:r>
      <w:r>
        <w:rPr>
          <w:color w:val="404040"/>
          <w:spacing w:val="31"/>
        </w:rPr>
        <w:t> </w:t>
      </w:r>
      <w:r>
        <w:rPr>
          <w:color w:val="404040"/>
        </w:rPr>
        <w:t>il</w:t>
      </w:r>
      <w:r>
        <w:rPr>
          <w:color w:val="404040"/>
          <w:spacing w:val="31"/>
        </w:rPr>
        <w:t> </w:t>
      </w:r>
      <w:r>
        <w:rPr>
          <w:color w:val="404040"/>
        </w:rPr>
        <w:t>Reddito</w:t>
      </w:r>
      <w:r>
        <w:rPr>
          <w:color w:val="404040"/>
          <w:spacing w:val="31"/>
        </w:rPr>
        <w:t> </w:t>
      </w:r>
      <w:r>
        <w:rPr>
          <w:color w:val="404040"/>
        </w:rPr>
        <w:t>di</w:t>
      </w:r>
      <w:r>
        <w:rPr>
          <w:color w:val="404040"/>
          <w:spacing w:val="31"/>
        </w:rPr>
        <w:t> </w:t>
      </w:r>
      <w:r>
        <w:rPr>
          <w:color w:val="404040"/>
        </w:rPr>
        <w:t>Cittadinanza</w:t>
      </w:r>
      <w:r>
        <w:rPr>
          <w:color w:val="404040"/>
          <w:spacing w:val="31"/>
        </w:rPr>
        <w:t> </w:t>
      </w:r>
      <w:r>
        <w:rPr>
          <w:color w:val="404040"/>
        </w:rPr>
        <w:t>come</w:t>
      </w:r>
      <w:r>
        <w:rPr>
          <w:color w:val="404040"/>
          <w:spacing w:val="29"/>
        </w:rPr>
        <w:t> </w:t>
      </w:r>
      <w:r>
        <w:rPr>
          <w:color w:val="404040"/>
        </w:rPr>
        <w:t>strumento</w:t>
      </w:r>
      <w:r>
        <w:rPr>
          <w:color w:val="404040"/>
          <w:spacing w:val="31"/>
        </w:rPr>
        <w:t> </w:t>
      </w:r>
      <w:r>
        <w:rPr>
          <w:color w:val="404040"/>
        </w:rPr>
        <w:t>di</w:t>
      </w:r>
      <w:r>
        <w:rPr>
          <w:color w:val="404040"/>
          <w:spacing w:val="31"/>
        </w:rPr>
        <w:t> </w:t>
      </w:r>
      <w:r>
        <w:rPr>
          <w:color w:val="404040"/>
        </w:rPr>
        <w:t>inclusione</w:t>
      </w:r>
      <w:r>
        <w:rPr>
          <w:color w:val="404040"/>
          <w:spacing w:val="32"/>
        </w:rPr>
        <w:t> </w:t>
      </w:r>
      <w:r>
        <w:rPr>
          <w:color w:val="404040"/>
        </w:rPr>
        <w:t>sociale</w:t>
      </w:r>
      <w:r>
        <w:rPr>
          <w:color w:val="404040"/>
          <w:spacing w:val="29"/>
        </w:rPr>
        <w:t> </w:t>
      </w:r>
      <w:r>
        <w:rPr>
          <w:color w:val="404040"/>
        </w:rPr>
        <w:t>e</w:t>
      </w:r>
      <w:r>
        <w:rPr>
          <w:color w:val="404040"/>
          <w:spacing w:val="29"/>
        </w:rPr>
        <w:t> </w:t>
      </w:r>
      <w:r>
        <w:rPr>
          <w:color w:val="404040"/>
        </w:rPr>
        <w:t>potenziare</w:t>
      </w:r>
      <w:r>
        <w:rPr>
          <w:color w:val="404040"/>
          <w:spacing w:val="31"/>
        </w:rPr>
        <w:t> </w:t>
      </w:r>
      <w:r>
        <w:rPr>
          <w:color w:val="404040"/>
        </w:rPr>
        <w:t>i</w:t>
      </w:r>
      <w:r>
        <w:rPr>
          <w:color w:val="404040"/>
          <w:spacing w:val="-47"/>
        </w:rPr>
        <w:t> </w:t>
      </w:r>
      <w:r>
        <w:rPr>
          <w:color w:val="404040"/>
        </w:rPr>
        <w:t>meccanismi di</w:t>
      </w:r>
      <w:r>
        <w:rPr>
          <w:color w:val="404040"/>
          <w:spacing w:val="-1"/>
        </w:rPr>
        <w:t> </w:t>
      </w:r>
      <w:r>
        <w:rPr>
          <w:color w:val="404040"/>
        </w:rPr>
        <w:t>attivazione e</w:t>
      </w:r>
      <w:r>
        <w:rPr>
          <w:color w:val="404040"/>
          <w:spacing w:val="-1"/>
        </w:rPr>
        <w:t> </w:t>
      </w:r>
      <w:r>
        <w:rPr>
          <w:color w:val="404040"/>
        </w:rPr>
        <w:t>inserimento</w:t>
      </w:r>
      <w:r>
        <w:rPr>
          <w:color w:val="404040"/>
          <w:spacing w:val="-1"/>
        </w:rPr>
        <w:t> </w:t>
      </w:r>
      <w:r>
        <w:rPr>
          <w:color w:val="404040"/>
        </w:rPr>
        <w:t>lavorativo</w:t>
      </w:r>
    </w:p>
    <w:p>
      <w:pPr>
        <w:pStyle w:val="BodyText"/>
        <w:rPr>
          <w:b/>
        </w:rPr>
      </w:pPr>
    </w:p>
    <w:p>
      <w:pPr>
        <w:pStyle w:val="BodyText"/>
        <w:ind w:left="838" w:right="113"/>
        <w:jc w:val="both"/>
      </w:pPr>
      <w:r>
        <w:rPr>
          <w:color w:val="404040"/>
        </w:rPr>
        <w:t>Il Reddito di Cittadinanza si è rivelato uno strumento efficace nel contrasto alla povertà, ma</w:t>
      </w:r>
      <w:r>
        <w:rPr>
          <w:color w:val="404040"/>
          <w:spacing w:val="1"/>
        </w:rPr>
        <w:t> </w:t>
      </w:r>
      <w:r>
        <w:rPr>
          <w:color w:val="404040"/>
        </w:rPr>
        <w:t>permangono degli ambiti di ottimizzazione in termini di “precisione”: il 56% delle persone</w:t>
      </w:r>
      <w:r>
        <w:rPr>
          <w:color w:val="404040"/>
          <w:spacing w:val="1"/>
        </w:rPr>
        <w:t> </w:t>
      </w:r>
      <w:r>
        <w:rPr>
          <w:color w:val="404040"/>
        </w:rPr>
        <w:t>povere</w:t>
      </w:r>
      <w:r>
        <w:rPr>
          <w:color w:val="404040"/>
          <w:spacing w:val="8"/>
        </w:rPr>
        <w:t> </w:t>
      </w:r>
      <w:r>
        <w:rPr>
          <w:color w:val="404040"/>
        </w:rPr>
        <w:t>non</w:t>
      </w:r>
      <w:r>
        <w:rPr>
          <w:color w:val="404040"/>
          <w:spacing w:val="8"/>
        </w:rPr>
        <w:t> </w:t>
      </w:r>
      <w:r>
        <w:rPr>
          <w:color w:val="404040"/>
        </w:rPr>
        <w:t>ha</w:t>
      </w:r>
      <w:r>
        <w:rPr>
          <w:color w:val="404040"/>
          <w:spacing w:val="6"/>
        </w:rPr>
        <w:t> </w:t>
      </w:r>
      <w:r>
        <w:rPr>
          <w:color w:val="404040"/>
        </w:rPr>
        <w:t>effettivamente</w:t>
      </w:r>
      <w:r>
        <w:rPr>
          <w:color w:val="404040"/>
          <w:spacing w:val="8"/>
        </w:rPr>
        <w:t> </w:t>
      </w:r>
      <w:r>
        <w:rPr>
          <w:color w:val="404040"/>
        </w:rPr>
        <w:t>accesso</w:t>
      </w:r>
      <w:r>
        <w:rPr>
          <w:color w:val="404040"/>
          <w:spacing w:val="10"/>
        </w:rPr>
        <w:t> </w:t>
      </w:r>
      <w:r>
        <w:rPr>
          <w:color w:val="404040"/>
        </w:rPr>
        <w:t>al</w:t>
      </w:r>
      <w:r>
        <w:rPr>
          <w:color w:val="404040"/>
          <w:spacing w:val="6"/>
        </w:rPr>
        <w:t> </w:t>
      </w:r>
      <w:r>
        <w:rPr>
          <w:color w:val="404040"/>
        </w:rPr>
        <w:t>sussidio</w:t>
      </w:r>
      <w:r>
        <w:rPr>
          <w:color w:val="404040"/>
          <w:spacing w:val="8"/>
        </w:rPr>
        <w:t> </w:t>
      </w:r>
      <w:r>
        <w:rPr>
          <w:color w:val="404040"/>
        </w:rPr>
        <w:t>e</w:t>
      </w:r>
      <w:r>
        <w:rPr>
          <w:color w:val="404040"/>
          <w:spacing w:val="6"/>
        </w:rPr>
        <w:t> </w:t>
      </w:r>
      <w:r>
        <w:rPr>
          <w:color w:val="404040"/>
        </w:rPr>
        <w:t>1</w:t>
      </w:r>
      <w:r>
        <w:rPr>
          <w:color w:val="404040"/>
          <w:spacing w:val="5"/>
        </w:rPr>
        <w:t> </w:t>
      </w:r>
      <w:r>
        <w:rPr>
          <w:color w:val="404040"/>
        </w:rPr>
        <w:t>percettore</w:t>
      </w:r>
      <w:r>
        <w:rPr>
          <w:color w:val="404040"/>
          <w:spacing w:val="9"/>
        </w:rPr>
        <w:t> </w:t>
      </w:r>
      <w:r>
        <w:rPr>
          <w:color w:val="404040"/>
        </w:rPr>
        <w:t>su</w:t>
      </w:r>
      <w:r>
        <w:rPr>
          <w:color w:val="404040"/>
          <w:spacing w:val="6"/>
        </w:rPr>
        <w:t> </w:t>
      </w:r>
      <w:r>
        <w:rPr>
          <w:color w:val="404040"/>
        </w:rPr>
        <w:t>3</w:t>
      </w:r>
      <w:r>
        <w:rPr>
          <w:color w:val="404040"/>
          <w:spacing w:val="9"/>
        </w:rPr>
        <w:t> </w:t>
      </w:r>
      <w:r>
        <w:rPr>
          <w:color w:val="404040"/>
        </w:rPr>
        <w:t>in</w:t>
      </w:r>
      <w:r>
        <w:rPr>
          <w:color w:val="404040"/>
          <w:spacing w:val="6"/>
        </w:rPr>
        <w:t> </w:t>
      </w:r>
      <w:r>
        <w:rPr>
          <w:color w:val="404040"/>
        </w:rPr>
        <w:t>realtà</w:t>
      </w:r>
      <w:r>
        <w:rPr>
          <w:color w:val="404040"/>
          <w:spacing w:val="6"/>
        </w:rPr>
        <w:t> </w:t>
      </w:r>
      <w:r>
        <w:rPr>
          <w:color w:val="404040"/>
        </w:rPr>
        <w:t>non</w:t>
      </w:r>
      <w:r>
        <w:rPr>
          <w:color w:val="404040"/>
          <w:spacing w:val="8"/>
        </w:rPr>
        <w:t> </w:t>
      </w:r>
      <w:r>
        <w:rPr>
          <w:color w:val="404040"/>
        </w:rPr>
        <w:t>è</w:t>
      </w:r>
      <w:r>
        <w:rPr>
          <w:color w:val="404040"/>
          <w:spacing w:val="6"/>
        </w:rPr>
        <w:t> </w:t>
      </w:r>
      <w:r>
        <w:rPr>
          <w:color w:val="404040"/>
        </w:rPr>
        <w:t>povero.</w:t>
      </w:r>
      <w:r>
        <w:rPr>
          <w:color w:val="404040"/>
          <w:spacing w:val="-47"/>
        </w:rPr>
        <w:t> </w:t>
      </w:r>
      <w:r>
        <w:rPr>
          <w:color w:val="404040"/>
        </w:rPr>
        <w:t>È</w:t>
      </w:r>
      <w:r>
        <w:rPr>
          <w:color w:val="404040"/>
          <w:spacing w:val="1"/>
        </w:rPr>
        <w:t> </w:t>
      </w:r>
      <w:r>
        <w:rPr>
          <w:color w:val="404040"/>
        </w:rPr>
        <w:t>invece</w:t>
      </w:r>
      <w:r>
        <w:rPr>
          <w:color w:val="404040"/>
          <w:spacing w:val="1"/>
        </w:rPr>
        <w:t> </w:t>
      </w:r>
      <w:r>
        <w:rPr>
          <w:color w:val="404040"/>
        </w:rPr>
        <w:t>meno</w:t>
      </w:r>
      <w:r>
        <w:rPr>
          <w:color w:val="404040"/>
          <w:spacing w:val="1"/>
        </w:rPr>
        <w:t> </w:t>
      </w:r>
      <w:r>
        <w:rPr>
          <w:color w:val="404040"/>
        </w:rPr>
        <w:t>efficace</w:t>
      </w:r>
      <w:r>
        <w:rPr>
          <w:color w:val="404040"/>
          <w:spacing w:val="1"/>
        </w:rPr>
        <w:t> </w:t>
      </w:r>
      <w:r>
        <w:rPr>
          <w:color w:val="404040"/>
        </w:rPr>
        <w:t>il</w:t>
      </w:r>
      <w:r>
        <w:rPr>
          <w:color w:val="404040"/>
          <w:spacing w:val="1"/>
        </w:rPr>
        <w:t> </w:t>
      </w:r>
      <w:r>
        <w:rPr>
          <w:color w:val="404040"/>
        </w:rPr>
        <w:t>funzionamento</w:t>
      </w:r>
      <w:r>
        <w:rPr>
          <w:color w:val="404040"/>
          <w:spacing w:val="1"/>
        </w:rPr>
        <w:t> </w:t>
      </w:r>
      <w:r>
        <w:rPr>
          <w:color w:val="404040"/>
        </w:rPr>
        <w:t>della</w:t>
      </w:r>
      <w:r>
        <w:rPr>
          <w:color w:val="404040"/>
          <w:spacing w:val="1"/>
        </w:rPr>
        <w:t> </w:t>
      </w:r>
      <w:r>
        <w:rPr>
          <w:color w:val="404040"/>
        </w:rPr>
        <w:t>componente</w:t>
      </w:r>
      <w:r>
        <w:rPr>
          <w:color w:val="404040"/>
          <w:spacing w:val="1"/>
        </w:rPr>
        <w:t> </w:t>
      </w:r>
      <w:r>
        <w:rPr>
          <w:color w:val="404040"/>
        </w:rPr>
        <w:t>relativa</w:t>
      </w:r>
      <w:r>
        <w:rPr>
          <w:color w:val="404040"/>
          <w:spacing w:val="1"/>
        </w:rPr>
        <w:t> </w:t>
      </w:r>
      <w:r>
        <w:rPr>
          <w:color w:val="404040"/>
        </w:rPr>
        <w:t>all’attivazione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all’inserimento</w:t>
      </w:r>
      <w:r>
        <w:rPr>
          <w:color w:val="404040"/>
          <w:spacing w:val="1"/>
        </w:rPr>
        <w:t> </w:t>
      </w:r>
      <w:r>
        <w:rPr>
          <w:color w:val="404040"/>
        </w:rPr>
        <w:t>lavorativo, oltre che</w:t>
      </w:r>
      <w:r>
        <w:rPr>
          <w:color w:val="404040"/>
          <w:spacing w:val="1"/>
        </w:rPr>
        <w:t> </w:t>
      </w:r>
      <w:r>
        <w:rPr>
          <w:color w:val="404040"/>
        </w:rPr>
        <w:t>per</w:t>
      </w:r>
      <w:r>
        <w:rPr>
          <w:color w:val="404040"/>
          <w:spacing w:val="1"/>
        </w:rPr>
        <w:t> </w:t>
      </w:r>
      <w:r>
        <w:rPr>
          <w:color w:val="404040"/>
        </w:rPr>
        <w:t>la </w:t>
      </w:r>
      <w:r>
        <w:rPr>
          <w:b/>
          <w:color w:val="404040"/>
        </w:rPr>
        <w:t>ridotta capacità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di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presa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in carico</w:t>
      </w:r>
      <w:r>
        <w:rPr>
          <w:b/>
          <w:color w:val="404040"/>
          <w:spacing w:val="49"/>
        </w:rPr>
        <w:t> </w:t>
      </w:r>
      <w:r>
        <w:rPr>
          <w:color w:val="404040"/>
        </w:rPr>
        <w:t>dei</w:t>
      </w:r>
      <w:r>
        <w:rPr>
          <w:color w:val="404040"/>
          <w:spacing w:val="50"/>
        </w:rPr>
        <w:t> </w:t>
      </w:r>
      <w:r>
        <w:rPr>
          <w:color w:val="404040"/>
        </w:rPr>
        <w:t>servizi</w:t>
      </w:r>
      <w:r>
        <w:rPr>
          <w:color w:val="404040"/>
          <w:spacing w:val="1"/>
        </w:rPr>
        <w:t> </w:t>
      </w:r>
      <w:r>
        <w:rPr>
          <w:color w:val="404040"/>
        </w:rPr>
        <w:t>sociali e dei centri per l’impiego, anche per il meccanismo che prevede che tutto il reddito da</w:t>
      </w:r>
      <w:r>
        <w:rPr>
          <w:color w:val="404040"/>
          <w:spacing w:val="1"/>
        </w:rPr>
        <w:t> </w:t>
      </w:r>
      <w:r>
        <w:rPr>
          <w:color w:val="404040"/>
        </w:rPr>
        <w:t>lavoro aggiuntivo guadagnato sia compensato da una riduzione di pari ammontare del RdC,</w:t>
      </w:r>
      <w:r>
        <w:rPr>
          <w:color w:val="404040"/>
          <w:spacing w:val="1"/>
        </w:rPr>
        <w:t> </w:t>
      </w:r>
      <w:r>
        <w:rPr>
          <w:color w:val="404040"/>
        </w:rPr>
        <w:t>lasciando</w:t>
      </w:r>
      <w:r>
        <w:rPr>
          <w:color w:val="404040"/>
          <w:spacing w:val="1"/>
        </w:rPr>
        <w:t> </w:t>
      </w:r>
      <w:r>
        <w:rPr>
          <w:color w:val="404040"/>
        </w:rPr>
        <w:t>reddito</w:t>
      </w:r>
      <w:r>
        <w:rPr>
          <w:color w:val="404040"/>
          <w:spacing w:val="1"/>
        </w:rPr>
        <w:t> </w:t>
      </w:r>
      <w:r>
        <w:rPr>
          <w:color w:val="404040"/>
        </w:rPr>
        <w:t>disponibile</w:t>
      </w:r>
      <w:r>
        <w:rPr>
          <w:color w:val="404040"/>
          <w:spacing w:val="1"/>
        </w:rPr>
        <w:t> </w:t>
      </w:r>
      <w:r>
        <w:rPr>
          <w:color w:val="404040"/>
        </w:rPr>
        <w:t>netto</w:t>
      </w:r>
      <w:r>
        <w:rPr>
          <w:color w:val="404040"/>
          <w:spacing w:val="1"/>
        </w:rPr>
        <w:t> </w:t>
      </w:r>
      <w:r>
        <w:rPr>
          <w:color w:val="404040"/>
        </w:rPr>
        <w:t>invariato</w:t>
      </w:r>
      <w:r>
        <w:rPr>
          <w:color w:val="404040"/>
          <w:spacing w:val="1"/>
        </w:rPr>
        <w:t> </w:t>
      </w:r>
      <w:r>
        <w:rPr>
          <w:color w:val="404040"/>
        </w:rPr>
        <w:t>rispetto</w:t>
      </w:r>
      <w:r>
        <w:rPr>
          <w:color w:val="404040"/>
          <w:spacing w:val="1"/>
        </w:rPr>
        <w:t> </w:t>
      </w:r>
      <w:r>
        <w:rPr>
          <w:color w:val="404040"/>
        </w:rPr>
        <w:t>al</w:t>
      </w:r>
      <w:r>
        <w:rPr>
          <w:color w:val="404040"/>
          <w:spacing w:val="1"/>
        </w:rPr>
        <w:t> </w:t>
      </w:r>
      <w:r>
        <w:rPr>
          <w:color w:val="404040"/>
        </w:rPr>
        <w:t>caso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assenza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lavoro</w:t>
      </w:r>
      <w:r>
        <w:rPr>
          <w:color w:val="404040"/>
          <w:spacing w:val="1"/>
        </w:rPr>
        <w:t> </w:t>
      </w:r>
      <w:r>
        <w:rPr>
          <w:color w:val="404040"/>
        </w:rPr>
        <w:t>(</w:t>
      </w:r>
      <w:r>
        <w:rPr>
          <w:b/>
          <w:color w:val="404040"/>
        </w:rPr>
        <w:t>disincentivandone</w:t>
      </w:r>
      <w:r>
        <w:rPr>
          <w:b/>
          <w:color w:val="404040"/>
          <w:spacing w:val="-1"/>
        </w:rPr>
        <w:t> </w:t>
      </w:r>
      <w:r>
        <w:rPr>
          <w:b/>
          <w:color w:val="404040"/>
        </w:rPr>
        <w:t>la</w:t>
      </w:r>
      <w:r>
        <w:rPr>
          <w:b/>
          <w:color w:val="404040"/>
          <w:spacing w:val="-1"/>
        </w:rPr>
        <w:t> </w:t>
      </w:r>
      <w:r>
        <w:rPr>
          <w:b/>
          <w:color w:val="404040"/>
        </w:rPr>
        <w:t>ricerca</w:t>
      </w:r>
      <w:r>
        <w:rPr>
          <w:color w:val="404040"/>
        </w:rPr>
        <w:t>).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before="1"/>
        <w:ind w:left="837" w:right="111"/>
        <w:jc w:val="both"/>
      </w:pPr>
      <w:r>
        <w:rPr>
          <w:color w:val="404040"/>
        </w:rPr>
        <w:t>Gli</w:t>
      </w:r>
      <w:r>
        <w:rPr>
          <w:color w:val="404040"/>
          <w:spacing w:val="1"/>
        </w:rPr>
        <w:t> </w:t>
      </w:r>
      <w:r>
        <w:rPr>
          <w:color w:val="404040"/>
        </w:rPr>
        <w:t>indirizzi</w:t>
      </w:r>
      <w:r>
        <w:rPr>
          <w:color w:val="404040"/>
          <w:spacing w:val="1"/>
        </w:rPr>
        <w:t> </w:t>
      </w:r>
      <w:r>
        <w:rPr>
          <w:color w:val="404040"/>
        </w:rPr>
        <w:t>suggeriti</w:t>
      </w:r>
      <w:r>
        <w:rPr>
          <w:color w:val="404040"/>
          <w:spacing w:val="1"/>
        </w:rPr>
        <w:t> </w:t>
      </w:r>
      <w:r>
        <w:rPr>
          <w:color w:val="404040"/>
        </w:rPr>
        <w:t>dal</w:t>
      </w:r>
      <w:r>
        <w:rPr>
          <w:color w:val="404040"/>
          <w:spacing w:val="1"/>
        </w:rPr>
        <w:t> </w:t>
      </w:r>
      <w:r>
        <w:rPr>
          <w:color w:val="404040"/>
        </w:rPr>
        <w:t>Think</w:t>
      </w:r>
      <w:r>
        <w:rPr>
          <w:color w:val="404040"/>
          <w:spacing w:val="1"/>
        </w:rPr>
        <w:t> </w:t>
      </w:r>
      <w:r>
        <w:rPr>
          <w:color w:val="404040"/>
        </w:rPr>
        <w:t>Tank</w:t>
      </w:r>
      <w:r>
        <w:rPr>
          <w:color w:val="404040"/>
          <w:spacing w:val="1"/>
        </w:rPr>
        <w:t> </w:t>
      </w:r>
      <w:r>
        <w:rPr>
          <w:color w:val="404040"/>
        </w:rPr>
        <w:t>pertanto</w:t>
      </w:r>
      <w:r>
        <w:rPr>
          <w:color w:val="404040"/>
          <w:spacing w:val="1"/>
        </w:rPr>
        <w:t> </w:t>
      </w:r>
      <w:r>
        <w:rPr>
          <w:color w:val="404040"/>
        </w:rPr>
        <w:t>raccomandano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b/>
          <w:color w:val="404040"/>
        </w:rPr>
        <w:t>valorizzare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il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ruolo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di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inclusione sociale </w:t>
      </w:r>
      <w:r>
        <w:rPr>
          <w:color w:val="404040"/>
        </w:rPr>
        <w:t>(riduzione del requisito dei 10 anni di residenza in Italia, revisione della</w:t>
      </w:r>
      <w:r>
        <w:rPr>
          <w:color w:val="404040"/>
          <w:spacing w:val="1"/>
        </w:rPr>
        <w:t> </w:t>
      </w:r>
      <w:r>
        <w:rPr>
          <w:color w:val="404040"/>
        </w:rPr>
        <w:t>scala di equivalenza, differenziazione dell’importo del sussidio in base al costo della vita e</w:t>
      </w:r>
      <w:r>
        <w:rPr>
          <w:color w:val="404040"/>
          <w:spacing w:val="1"/>
        </w:rPr>
        <w:t> </w:t>
      </w:r>
      <w:r>
        <w:rPr>
          <w:color w:val="404040"/>
        </w:rPr>
        <w:t>adeguamento</w:t>
      </w:r>
      <w:r>
        <w:rPr>
          <w:color w:val="404040"/>
          <w:spacing w:val="1"/>
        </w:rPr>
        <w:t> </w:t>
      </w:r>
      <w:r>
        <w:rPr>
          <w:color w:val="404040"/>
        </w:rPr>
        <w:t>all’inflazione)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potenziare</w:t>
      </w:r>
      <w:r>
        <w:rPr>
          <w:color w:val="404040"/>
          <w:spacing w:val="1"/>
        </w:rPr>
        <w:t> </w:t>
      </w:r>
      <w:r>
        <w:rPr>
          <w:color w:val="404040"/>
        </w:rPr>
        <w:t>i</w:t>
      </w:r>
      <w:r>
        <w:rPr>
          <w:color w:val="404040"/>
          <w:spacing w:val="1"/>
        </w:rPr>
        <w:t> </w:t>
      </w:r>
      <w:r>
        <w:rPr>
          <w:color w:val="404040"/>
        </w:rPr>
        <w:t>meccanismi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b/>
          <w:color w:val="404040"/>
        </w:rPr>
        <w:t>attivazione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e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inserimento</w:t>
      </w:r>
      <w:r>
        <w:rPr>
          <w:b/>
          <w:color w:val="404040"/>
          <w:spacing w:val="1"/>
        </w:rPr>
        <w:t> </w:t>
      </w:r>
      <w:r>
        <w:rPr>
          <w:b/>
          <w:color w:val="404040"/>
        </w:rPr>
        <w:t>lavorativo </w:t>
      </w:r>
      <w:r>
        <w:rPr>
          <w:color w:val="404040"/>
        </w:rPr>
        <w:t>(revisione degli importi al variare dei redditi da lavoro e vincolo del sussidio alla</w:t>
      </w:r>
      <w:r>
        <w:rPr>
          <w:color w:val="404040"/>
          <w:spacing w:val="1"/>
        </w:rPr>
        <w:t> </w:t>
      </w:r>
      <w:r>
        <w:rPr>
          <w:b/>
          <w:color w:val="404040"/>
        </w:rPr>
        <w:t>partecipazione</w:t>
      </w:r>
      <w:r>
        <w:rPr>
          <w:b/>
          <w:color w:val="404040"/>
          <w:spacing w:val="-2"/>
        </w:rPr>
        <w:t> </w:t>
      </w:r>
      <w:r>
        <w:rPr>
          <w:color w:val="404040"/>
        </w:rPr>
        <w:t>ai percorsi</w:t>
      </w:r>
      <w:r>
        <w:rPr>
          <w:color w:val="404040"/>
          <w:spacing w:val="-3"/>
        </w:rPr>
        <w:t> </w:t>
      </w:r>
      <w:r>
        <w:rPr>
          <w:color w:val="404040"/>
        </w:rPr>
        <w:t>di formazione</w:t>
      </w:r>
      <w:r>
        <w:rPr>
          <w:color w:val="404040"/>
          <w:spacing w:val="-2"/>
        </w:rPr>
        <w:t> </w:t>
      </w:r>
      <w:r>
        <w:rPr>
          <w:color w:val="404040"/>
        </w:rPr>
        <w:t>e attivazione).</w:t>
      </w:r>
    </w:p>
    <w:p>
      <w:pPr>
        <w:pStyle w:val="BodyText"/>
      </w:pPr>
    </w:p>
    <w:p>
      <w:pPr>
        <w:pStyle w:val="BodyText"/>
      </w:pPr>
    </w:p>
    <w:p>
      <w:pPr>
        <w:pStyle w:val="Heading1"/>
      </w:pPr>
      <w:r>
        <w:rPr>
          <w:color w:val="404040"/>
          <w:u w:val="single" w:color="404040"/>
        </w:rPr>
        <w:t>Il</w:t>
      </w:r>
      <w:r>
        <w:rPr>
          <w:color w:val="404040"/>
          <w:spacing w:val="-1"/>
          <w:u w:val="single" w:color="404040"/>
        </w:rPr>
        <w:t> </w:t>
      </w:r>
      <w:r>
        <w:rPr>
          <w:color w:val="404040"/>
          <w:u w:val="single" w:color="404040"/>
        </w:rPr>
        <w:t>“Welfare</w:t>
      </w:r>
      <w:r>
        <w:rPr>
          <w:color w:val="404040"/>
          <w:spacing w:val="-4"/>
          <w:u w:val="single" w:color="404040"/>
        </w:rPr>
        <w:t> </w:t>
      </w:r>
      <w:r>
        <w:rPr>
          <w:color w:val="404040"/>
          <w:u w:val="single" w:color="404040"/>
        </w:rPr>
        <w:t>Italia</w:t>
      </w:r>
      <w:r>
        <w:rPr>
          <w:color w:val="404040"/>
          <w:spacing w:val="-5"/>
          <w:u w:val="single" w:color="404040"/>
        </w:rPr>
        <w:t> </w:t>
      </w:r>
      <w:r>
        <w:rPr>
          <w:color w:val="404040"/>
          <w:u w:val="single" w:color="404040"/>
        </w:rPr>
        <w:t>Index”</w:t>
      </w:r>
      <w:r>
        <w:rPr>
          <w:color w:val="404040"/>
          <w:spacing w:val="-1"/>
          <w:u w:val="single" w:color="404040"/>
        </w:rPr>
        <w:t> </w:t>
      </w:r>
      <w:r>
        <w:rPr>
          <w:color w:val="404040"/>
          <w:u w:val="single" w:color="404040"/>
        </w:rPr>
        <w:t>regionale</w:t>
      </w:r>
    </w:p>
    <w:p>
      <w:pPr>
        <w:pStyle w:val="BodyText"/>
        <w:rPr>
          <w:b/>
          <w:sz w:val="16"/>
        </w:rPr>
      </w:pPr>
    </w:p>
    <w:p>
      <w:pPr>
        <w:spacing w:before="74"/>
        <w:ind w:left="118" w:right="112" w:firstLine="0"/>
        <w:jc w:val="both"/>
        <w:rPr>
          <w:sz w:val="22"/>
        </w:rPr>
      </w:pPr>
      <w:r>
        <w:rPr>
          <w:color w:val="404040"/>
          <w:sz w:val="22"/>
        </w:rPr>
        <w:t>I risultati del </w:t>
      </w:r>
      <w:r>
        <w:rPr>
          <w:b/>
          <w:color w:val="404040"/>
          <w:sz w:val="22"/>
        </w:rPr>
        <w:t>Welfare Italia Index 2022</w:t>
      </w:r>
      <w:hyperlink w:history="true" w:anchor="_bookmark0">
        <w:r>
          <w:rPr>
            <w:b/>
            <w:color w:val="404040"/>
            <w:sz w:val="22"/>
            <w:vertAlign w:val="superscript"/>
          </w:rPr>
          <w:t>1</w:t>
        </w:r>
      </w:hyperlink>
      <w:r>
        <w:rPr>
          <w:b/>
          <w:color w:val="404040"/>
          <w:sz w:val="22"/>
          <w:vertAlign w:val="baseline"/>
        </w:rPr>
        <w:t> </w:t>
      </w:r>
      <w:r>
        <w:rPr>
          <w:color w:val="404040"/>
          <w:sz w:val="22"/>
          <w:vertAlign w:val="baseline"/>
        </w:rPr>
        <w:t>- l'indicatore sintetico che valuta sia gli aspetti legati alla</w:t>
      </w:r>
      <w:r>
        <w:rPr>
          <w:color w:val="404040"/>
          <w:spacing w:val="1"/>
          <w:sz w:val="22"/>
          <w:vertAlign w:val="baseline"/>
        </w:rPr>
        <w:t> </w:t>
      </w:r>
      <w:r>
        <w:rPr>
          <w:color w:val="404040"/>
          <w:sz w:val="22"/>
          <w:vertAlign w:val="baseline"/>
        </w:rPr>
        <w:t>spesa in welfare sia aspetti legati ai risultati che questa spesa produce - fotografano una netta</w:t>
      </w:r>
      <w:r>
        <w:rPr>
          <w:color w:val="404040"/>
          <w:spacing w:val="1"/>
          <w:sz w:val="22"/>
          <w:vertAlign w:val="baseline"/>
        </w:rPr>
        <w:t> </w:t>
      </w:r>
      <w:r>
        <w:rPr>
          <w:color w:val="404040"/>
          <w:sz w:val="22"/>
          <w:vertAlign w:val="baseline"/>
        </w:rPr>
        <w:t>spaccatura tra Nord, Centro e Sud del Paese </w:t>
      </w:r>
      <w:r>
        <w:rPr>
          <w:b/>
          <w:color w:val="404040"/>
          <w:sz w:val="22"/>
          <w:vertAlign w:val="baseline"/>
        </w:rPr>
        <w:t>nella capacità di risposta del sistema di welfare delle</w:t>
      </w:r>
      <w:r>
        <w:rPr>
          <w:b/>
          <w:color w:val="404040"/>
          <w:spacing w:val="1"/>
          <w:sz w:val="22"/>
          <w:vertAlign w:val="baseline"/>
        </w:rPr>
        <w:t> </w:t>
      </w:r>
      <w:r>
        <w:rPr>
          <w:b/>
          <w:color w:val="404040"/>
          <w:sz w:val="22"/>
          <w:vertAlign w:val="baseline"/>
        </w:rPr>
        <w:t>regioni</w:t>
      </w:r>
      <w:r>
        <w:rPr>
          <w:b/>
          <w:color w:val="404040"/>
          <w:spacing w:val="-2"/>
          <w:sz w:val="22"/>
          <w:vertAlign w:val="baseline"/>
        </w:rPr>
        <w:t> </w:t>
      </w:r>
      <w:r>
        <w:rPr>
          <w:b/>
          <w:color w:val="404040"/>
          <w:sz w:val="22"/>
          <w:vertAlign w:val="baseline"/>
        </w:rPr>
        <w:t>italiane</w:t>
      </w:r>
      <w:r>
        <w:rPr>
          <w:color w:val="404040"/>
          <w:sz w:val="22"/>
          <w:vertAlign w:val="baseline"/>
        </w:rPr>
        <w:t>.</w:t>
      </w:r>
    </w:p>
    <w:p>
      <w:pPr>
        <w:pStyle w:val="BodyText"/>
        <w:spacing w:before="1"/>
      </w:pPr>
    </w:p>
    <w:p>
      <w:pPr>
        <w:pStyle w:val="BodyText"/>
        <w:ind w:left="118" w:right="111" w:hanging="1"/>
        <w:jc w:val="both"/>
      </w:pPr>
      <w:r>
        <w:rPr>
          <w:color w:val="404040"/>
        </w:rPr>
        <w:t>Si conferma quindi la forte eterogeneità tra i territori del Paese, sia con riferimento al sistema di</w:t>
      </w:r>
      <w:r>
        <w:rPr>
          <w:color w:val="404040"/>
          <w:spacing w:val="1"/>
        </w:rPr>
        <w:t> </w:t>
      </w:r>
      <w:r>
        <w:rPr>
          <w:color w:val="404040"/>
        </w:rPr>
        <w:t>welfare sia per quanto riguarda gli impatti del COVID-19 e i relativi effetti redistributivi legati a</w:t>
      </w:r>
      <w:r>
        <w:rPr>
          <w:color w:val="404040"/>
          <w:spacing w:val="1"/>
        </w:rPr>
        <w:t> </w:t>
      </w:r>
      <w:r>
        <w:rPr>
          <w:color w:val="404040"/>
        </w:rPr>
        <w:t>povertà</w:t>
      </w:r>
      <w:r>
        <w:rPr>
          <w:color w:val="404040"/>
          <w:spacing w:val="-1"/>
        </w:rPr>
        <w:t> </w:t>
      </w:r>
      <w:r>
        <w:rPr>
          <w:color w:val="404040"/>
        </w:rPr>
        <w:t>assoluta</w:t>
      </w:r>
      <w:r>
        <w:rPr>
          <w:color w:val="404040"/>
          <w:spacing w:val="-2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disoccupazione.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pict>
          <v:rect style="position:absolute;margin-left:70.919998pt;margin-top:10.851974pt;width:144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76" w:lineRule="auto" w:before="73"/>
        <w:ind w:left="118" w:right="115" w:hanging="1"/>
        <w:jc w:val="both"/>
        <w:rPr>
          <w:sz w:val="16"/>
        </w:rPr>
      </w:pPr>
      <w:bookmarkStart w:name="_bookmark0" w:id="1"/>
      <w:bookmarkEnd w:id="1"/>
      <w:r>
        <w:rPr/>
      </w:r>
      <w:r>
        <w:rPr>
          <w:color w:val="404040"/>
          <w:sz w:val="16"/>
          <w:vertAlign w:val="superscript"/>
        </w:rPr>
        <w:t>1</w:t>
      </w:r>
      <w:r>
        <w:rPr>
          <w:color w:val="404040"/>
          <w:sz w:val="16"/>
          <w:vertAlign w:val="baseline"/>
        </w:rPr>
        <w:t> Strumento di monitoraggio, messo a punto da Welfare Italia per la prima volta nel 2020 e basato su 22 KPI (</w:t>
      </w:r>
      <w:r>
        <w:rPr>
          <w:i/>
          <w:color w:val="404040"/>
          <w:sz w:val="16"/>
          <w:vertAlign w:val="baseline"/>
        </w:rPr>
        <w:t>Key Performance Indicator),</w:t>
      </w:r>
      <w:r>
        <w:rPr>
          <w:i/>
          <w:color w:val="404040"/>
          <w:spacing w:val="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che prende in considerazione gli ambiti di politiche sociali, sanità, previdenza e formazione, e consente di identificare, a livello regionale, i</w:t>
      </w:r>
      <w:r>
        <w:rPr>
          <w:color w:val="404040"/>
          <w:spacing w:val="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punti</w:t>
      </w:r>
      <w:r>
        <w:rPr>
          <w:color w:val="404040"/>
          <w:spacing w:val="-3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di</w:t>
      </w:r>
      <w:r>
        <w:rPr>
          <w:color w:val="404040"/>
          <w:spacing w:val="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forza</w:t>
      </w:r>
      <w:r>
        <w:rPr>
          <w:color w:val="404040"/>
          <w:spacing w:val="-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e</w:t>
      </w:r>
      <w:r>
        <w:rPr>
          <w:color w:val="404040"/>
          <w:spacing w:val="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le</w:t>
      </w:r>
      <w:r>
        <w:rPr>
          <w:color w:val="404040"/>
          <w:spacing w:val="-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aree</w:t>
      </w:r>
      <w:r>
        <w:rPr>
          <w:color w:val="404040"/>
          <w:spacing w:val="-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di</w:t>
      </w:r>
      <w:r>
        <w:rPr>
          <w:color w:val="404040"/>
          <w:spacing w:val="-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criticità</w:t>
      </w:r>
      <w:r>
        <w:rPr>
          <w:color w:val="404040"/>
          <w:spacing w:val="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in</w:t>
      </w:r>
      <w:r>
        <w:rPr>
          <w:color w:val="404040"/>
          <w:spacing w:val="-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cui</w:t>
      </w:r>
      <w:r>
        <w:rPr>
          <w:color w:val="404040"/>
          <w:spacing w:val="-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è</w:t>
      </w:r>
      <w:r>
        <w:rPr>
          <w:color w:val="404040"/>
          <w:spacing w:val="-1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necessario</w:t>
      </w:r>
      <w:r>
        <w:rPr>
          <w:color w:val="404040"/>
          <w:spacing w:val="-2"/>
          <w:sz w:val="16"/>
          <w:vertAlign w:val="baseline"/>
        </w:rPr>
        <w:t> </w:t>
      </w:r>
      <w:r>
        <w:rPr>
          <w:color w:val="404040"/>
          <w:sz w:val="16"/>
          <w:vertAlign w:val="baseline"/>
        </w:rPr>
        <w:t>intervenire.</w:t>
      </w:r>
    </w:p>
    <w:p>
      <w:pPr>
        <w:spacing w:after="0" w:line="276" w:lineRule="auto"/>
        <w:jc w:val="both"/>
        <w:rPr>
          <w:sz w:val="16"/>
        </w:rPr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57"/>
        <w:ind w:left="118" w:right="110"/>
        <w:jc w:val="both"/>
      </w:pPr>
      <w:r>
        <w:rPr>
          <w:color w:val="404040"/>
        </w:rPr>
        <w:t>Nel</w:t>
      </w:r>
      <w:r>
        <w:rPr>
          <w:color w:val="404040"/>
          <w:spacing w:val="1"/>
        </w:rPr>
        <w:t> </w:t>
      </w:r>
      <w:r>
        <w:rPr>
          <w:color w:val="404040"/>
        </w:rPr>
        <w:t>dettaglio,</w:t>
      </w:r>
      <w:r>
        <w:rPr>
          <w:color w:val="404040"/>
          <w:spacing w:val="1"/>
        </w:rPr>
        <w:t> </w:t>
      </w:r>
      <w:r>
        <w:rPr>
          <w:color w:val="404040"/>
        </w:rPr>
        <w:t>la P.A.</w:t>
      </w:r>
      <w:r>
        <w:rPr>
          <w:color w:val="404040"/>
          <w:spacing w:val="1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Trento</w:t>
      </w:r>
      <w:r>
        <w:rPr>
          <w:color w:val="404040"/>
          <w:spacing w:val="1"/>
        </w:rPr>
        <w:t> </w:t>
      </w:r>
      <w:r>
        <w:rPr>
          <w:color w:val="404040"/>
        </w:rPr>
        <w:t>si conferma</w:t>
      </w:r>
      <w:r>
        <w:rPr>
          <w:color w:val="404040"/>
          <w:spacing w:val="1"/>
        </w:rPr>
        <w:t> </w:t>
      </w:r>
      <w:r>
        <w:rPr>
          <w:color w:val="404040"/>
        </w:rPr>
        <w:t>prima in</w:t>
      </w:r>
      <w:r>
        <w:rPr>
          <w:color w:val="404040"/>
          <w:spacing w:val="1"/>
        </w:rPr>
        <w:t> </w:t>
      </w:r>
      <w:r>
        <w:rPr>
          <w:color w:val="404040"/>
        </w:rPr>
        <w:t>classifica</w:t>
      </w:r>
      <w:r>
        <w:rPr>
          <w:color w:val="404040"/>
          <w:spacing w:val="1"/>
        </w:rPr>
        <w:t> </w:t>
      </w:r>
      <w:r>
        <w:rPr>
          <w:color w:val="404040"/>
        </w:rPr>
        <w:t>(81,3</w:t>
      </w:r>
      <w:r>
        <w:rPr>
          <w:color w:val="404040"/>
          <w:spacing w:val="1"/>
        </w:rPr>
        <w:t> </w:t>
      </w:r>
      <w:r>
        <w:rPr>
          <w:color w:val="404040"/>
        </w:rPr>
        <w:t>punti),</w:t>
      </w:r>
      <w:r>
        <w:rPr>
          <w:color w:val="404040"/>
          <w:spacing w:val="1"/>
        </w:rPr>
        <w:t> </w:t>
      </w:r>
      <w:r>
        <w:rPr>
          <w:color w:val="404040"/>
        </w:rPr>
        <w:t>seguita</w:t>
      </w:r>
      <w:r>
        <w:rPr>
          <w:color w:val="404040"/>
          <w:spacing w:val="1"/>
        </w:rPr>
        <w:t> </w:t>
      </w:r>
      <w:r>
        <w:rPr>
          <w:color w:val="404040"/>
        </w:rPr>
        <w:t>dalla</w:t>
      </w:r>
      <w:r>
        <w:rPr>
          <w:color w:val="404040"/>
          <w:spacing w:val="1"/>
        </w:rPr>
        <w:t> </w:t>
      </w:r>
      <w:r>
        <w:rPr>
          <w:color w:val="404040"/>
        </w:rPr>
        <w:t>P.A.</w:t>
      </w:r>
      <w:r>
        <w:rPr>
          <w:color w:val="404040"/>
          <w:spacing w:val="49"/>
        </w:rPr>
        <w:t> </w:t>
      </w:r>
      <w:r>
        <w:rPr>
          <w:color w:val="404040"/>
        </w:rPr>
        <w:t>di</w:t>
      </w:r>
      <w:r>
        <w:rPr>
          <w:color w:val="404040"/>
          <w:spacing w:val="1"/>
        </w:rPr>
        <w:t> </w:t>
      </w:r>
      <w:r>
        <w:rPr>
          <w:color w:val="404040"/>
        </w:rPr>
        <w:t>Bolzano</w:t>
      </w:r>
      <w:r>
        <w:rPr>
          <w:color w:val="404040"/>
          <w:spacing w:val="1"/>
        </w:rPr>
        <w:t> </w:t>
      </w:r>
      <w:r>
        <w:rPr>
          <w:color w:val="404040"/>
        </w:rPr>
        <w:t>(78,7</w:t>
      </w:r>
      <w:r>
        <w:rPr>
          <w:color w:val="404040"/>
          <w:spacing w:val="1"/>
        </w:rPr>
        <w:t> </w:t>
      </w:r>
      <w:r>
        <w:rPr>
          <w:color w:val="404040"/>
        </w:rPr>
        <w:t>punti)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dal Friuli-Venezia Giulia (77,4 punti). Il</w:t>
      </w:r>
      <w:r>
        <w:rPr>
          <w:color w:val="404040"/>
          <w:spacing w:val="1"/>
        </w:rPr>
        <w:t> </w:t>
      </w:r>
      <w:r>
        <w:rPr>
          <w:color w:val="404040"/>
        </w:rPr>
        <w:t>Veneto</w:t>
      </w:r>
      <w:r>
        <w:rPr>
          <w:color w:val="404040"/>
          <w:spacing w:val="1"/>
        </w:rPr>
        <w:t> </w:t>
      </w:r>
      <w:r>
        <w:rPr>
          <w:color w:val="404040"/>
        </w:rPr>
        <w:t>(70,1),</w:t>
      </w:r>
      <w:r>
        <w:rPr>
          <w:color w:val="404040"/>
          <w:spacing w:val="1"/>
        </w:rPr>
        <w:t> </w:t>
      </w:r>
      <w:r>
        <w:rPr>
          <w:color w:val="404040"/>
        </w:rPr>
        <w:t>l’ultima</w:t>
      </w:r>
      <w:r>
        <w:rPr>
          <w:color w:val="404040"/>
          <w:spacing w:val="49"/>
        </w:rPr>
        <w:t> </w:t>
      </w:r>
      <w:r>
        <w:rPr>
          <w:color w:val="404040"/>
        </w:rPr>
        <w:t>regione</w:t>
      </w:r>
      <w:r>
        <w:rPr>
          <w:color w:val="404040"/>
          <w:spacing w:val="50"/>
        </w:rPr>
        <w:t> </w:t>
      </w:r>
      <w:r>
        <w:rPr>
          <w:color w:val="404040"/>
        </w:rPr>
        <w:t>del</w:t>
      </w:r>
      <w:r>
        <w:rPr>
          <w:color w:val="404040"/>
          <w:spacing w:val="1"/>
        </w:rPr>
        <w:t> </w:t>
      </w:r>
      <w:r>
        <w:rPr>
          <w:color w:val="404040"/>
        </w:rPr>
        <w:t>Nord,</w:t>
      </w:r>
      <w:r>
        <w:rPr>
          <w:color w:val="404040"/>
          <w:spacing w:val="6"/>
        </w:rPr>
        <w:t> </w:t>
      </w:r>
      <w:r>
        <w:rPr>
          <w:color w:val="404040"/>
        </w:rPr>
        <w:t>si</w:t>
      </w:r>
      <w:r>
        <w:rPr>
          <w:color w:val="404040"/>
          <w:spacing w:val="5"/>
        </w:rPr>
        <w:t> </w:t>
      </w:r>
      <w:r>
        <w:rPr>
          <w:color w:val="404040"/>
        </w:rPr>
        <w:t>posiziona</w:t>
      </w:r>
      <w:r>
        <w:rPr>
          <w:color w:val="404040"/>
          <w:spacing w:val="5"/>
        </w:rPr>
        <w:t> </w:t>
      </w:r>
      <w:r>
        <w:rPr>
          <w:color w:val="404040"/>
        </w:rPr>
        <w:t>davanti</w:t>
      </w:r>
      <w:r>
        <w:rPr>
          <w:color w:val="404040"/>
          <w:spacing w:val="4"/>
        </w:rPr>
        <w:t> </w:t>
      </w:r>
      <w:r>
        <w:rPr>
          <w:color w:val="404040"/>
        </w:rPr>
        <w:t>a</w:t>
      </w:r>
      <w:r>
        <w:rPr>
          <w:color w:val="404040"/>
          <w:spacing w:val="5"/>
        </w:rPr>
        <w:t> </w:t>
      </w:r>
      <w:r>
        <w:rPr>
          <w:color w:val="404040"/>
        </w:rPr>
        <w:t>tutte</w:t>
      </w:r>
      <w:r>
        <w:rPr>
          <w:color w:val="404040"/>
          <w:spacing w:val="4"/>
        </w:rPr>
        <w:t> </w:t>
      </w:r>
      <w:r>
        <w:rPr>
          <w:color w:val="404040"/>
        </w:rPr>
        <w:t>le</w:t>
      </w:r>
      <w:r>
        <w:rPr>
          <w:color w:val="404040"/>
          <w:spacing w:val="7"/>
        </w:rPr>
        <w:t> </w:t>
      </w:r>
      <w:r>
        <w:rPr>
          <w:color w:val="404040"/>
        </w:rPr>
        <w:t>regioni</w:t>
      </w:r>
      <w:r>
        <w:rPr>
          <w:color w:val="404040"/>
          <w:spacing w:val="5"/>
        </w:rPr>
        <w:t> </w:t>
      </w:r>
      <w:r>
        <w:rPr>
          <w:color w:val="404040"/>
        </w:rPr>
        <w:t>dell’Italia</w:t>
      </w:r>
      <w:r>
        <w:rPr>
          <w:color w:val="404040"/>
          <w:spacing w:val="4"/>
        </w:rPr>
        <w:t> </w:t>
      </w:r>
      <w:r>
        <w:rPr>
          <w:color w:val="404040"/>
        </w:rPr>
        <w:t>centrale</w:t>
      </w:r>
      <w:r>
        <w:rPr>
          <w:color w:val="404040"/>
          <w:spacing w:val="3"/>
        </w:rPr>
        <w:t> </w:t>
      </w:r>
      <w:r>
        <w:rPr>
          <w:color w:val="404040"/>
        </w:rPr>
        <w:t>e</w:t>
      </w:r>
      <w:r>
        <w:rPr>
          <w:color w:val="404040"/>
          <w:spacing w:val="5"/>
        </w:rPr>
        <w:t> </w:t>
      </w:r>
      <w:r>
        <w:rPr>
          <w:color w:val="404040"/>
        </w:rPr>
        <w:t>meridionale.</w:t>
      </w:r>
      <w:r>
        <w:rPr>
          <w:color w:val="404040"/>
          <w:spacing w:val="4"/>
        </w:rPr>
        <w:t> </w:t>
      </w:r>
      <w:r>
        <w:rPr>
          <w:color w:val="404040"/>
        </w:rPr>
        <w:t>In</w:t>
      </w:r>
      <w:r>
        <w:rPr>
          <w:color w:val="404040"/>
          <w:spacing w:val="2"/>
        </w:rPr>
        <w:t> </w:t>
      </w:r>
      <w:r>
        <w:rPr>
          <w:color w:val="404040"/>
        </w:rPr>
        <w:t>particolare,</w:t>
      </w:r>
      <w:r>
        <w:rPr>
          <w:color w:val="404040"/>
          <w:spacing w:val="7"/>
        </w:rPr>
        <w:t> </w:t>
      </w:r>
      <w:r>
        <w:rPr>
          <w:color w:val="404040"/>
        </w:rPr>
        <w:t>le</w:t>
      </w:r>
      <w:r>
        <w:rPr>
          <w:color w:val="404040"/>
          <w:spacing w:val="6"/>
        </w:rPr>
        <w:t> </w:t>
      </w:r>
      <w:r>
        <w:rPr>
          <w:color w:val="404040"/>
        </w:rPr>
        <w:t>ultime</w:t>
      </w:r>
      <w:r>
        <w:rPr>
          <w:color w:val="404040"/>
          <w:spacing w:val="1"/>
        </w:rPr>
        <w:t> </w:t>
      </w:r>
      <w:r>
        <w:rPr>
          <w:color w:val="404040"/>
        </w:rPr>
        <w:t>8</w:t>
      </w:r>
      <w:r>
        <w:rPr>
          <w:color w:val="404040"/>
          <w:spacing w:val="1"/>
        </w:rPr>
        <w:t> </w:t>
      </w:r>
      <w:r>
        <w:rPr>
          <w:color w:val="404040"/>
        </w:rPr>
        <w:t>Regioni</w:t>
      </w:r>
      <w:r>
        <w:rPr>
          <w:color w:val="404040"/>
          <w:spacing w:val="1"/>
        </w:rPr>
        <w:t> </w:t>
      </w:r>
      <w:r>
        <w:rPr>
          <w:color w:val="404040"/>
        </w:rPr>
        <w:t>appartengono</w:t>
      </w:r>
      <w:r>
        <w:rPr>
          <w:color w:val="404040"/>
          <w:spacing w:val="1"/>
        </w:rPr>
        <w:t> </w:t>
      </w:r>
      <w:r>
        <w:rPr>
          <w:color w:val="404040"/>
        </w:rPr>
        <w:t>tutte</w:t>
      </w:r>
      <w:r>
        <w:rPr>
          <w:color w:val="404040"/>
          <w:spacing w:val="1"/>
        </w:rPr>
        <w:t> </w:t>
      </w:r>
      <w:r>
        <w:rPr>
          <w:color w:val="404040"/>
        </w:rPr>
        <w:t>all’Italia</w:t>
      </w:r>
      <w:r>
        <w:rPr>
          <w:color w:val="404040"/>
          <w:spacing w:val="1"/>
        </w:rPr>
        <w:t> </w:t>
      </w:r>
      <w:r>
        <w:rPr>
          <w:color w:val="404040"/>
        </w:rPr>
        <w:t>Meridionale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Insulare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color w:val="404040"/>
        </w:rPr>
        <w:t>prima</w:t>
      </w:r>
      <w:r>
        <w:rPr>
          <w:color w:val="404040"/>
          <w:spacing w:val="1"/>
        </w:rPr>
        <w:t> </w:t>
      </w:r>
      <w:r>
        <w:rPr>
          <w:color w:val="404040"/>
        </w:rPr>
        <w:t>dell’area</w:t>
      </w:r>
      <w:r>
        <w:rPr>
          <w:color w:val="404040"/>
          <w:spacing w:val="1"/>
        </w:rPr>
        <w:t> </w:t>
      </w:r>
      <w:r>
        <w:rPr>
          <w:color w:val="404040"/>
        </w:rPr>
        <w:t>–</w:t>
      </w:r>
      <w:r>
        <w:rPr>
          <w:color w:val="404040"/>
          <w:spacing w:val="1"/>
        </w:rPr>
        <w:t> </w:t>
      </w:r>
      <w:r>
        <w:rPr>
          <w:color w:val="404040"/>
        </w:rPr>
        <w:t>ovvero</w:t>
      </w:r>
      <w:r>
        <w:rPr>
          <w:color w:val="404040"/>
          <w:spacing w:val="1"/>
        </w:rPr>
        <w:t> </w:t>
      </w:r>
      <w:r>
        <w:rPr>
          <w:color w:val="404040"/>
        </w:rPr>
        <w:t>la</w:t>
      </w:r>
      <w:r>
        <w:rPr>
          <w:color w:val="404040"/>
          <w:spacing w:val="1"/>
        </w:rPr>
        <w:t> </w:t>
      </w:r>
      <w:r>
        <w:rPr>
          <w:color w:val="404040"/>
        </w:rPr>
        <w:t>Sardegna (14^ con 62,8 punti) – dista oltre 18 punti dalla P.A. di Trento e precede di circa 12 punti la</w:t>
      </w:r>
      <w:r>
        <w:rPr>
          <w:color w:val="404040"/>
          <w:spacing w:val="1"/>
        </w:rPr>
        <w:t> </w:t>
      </w:r>
      <w:r>
        <w:rPr>
          <w:color w:val="404040"/>
        </w:rPr>
        <w:t>Calabria, ultima in classifica. Rispetto all’edizione precedente, emerge una</w:t>
      </w:r>
      <w:r>
        <w:rPr>
          <w:color w:val="404040"/>
          <w:spacing w:val="1"/>
        </w:rPr>
        <w:t> </w:t>
      </w:r>
      <w:r>
        <w:rPr>
          <w:color w:val="404040"/>
        </w:rPr>
        <w:t>lieve diminuzione della</w:t>
      </w:r>
      <w:r>
        <w:rPr>
          <w:color w:val="404040"/>
          <w:spacing w:val="1"/>
        </w:rPr>
        <w:t> </w:t>
      </w:r>
      <w:r>
        <w:rPr>
          <w:color w:val="404040"/>
        </w:rPr>
        <w:t>polarizzazione nella capacità di risposta del sistema di welfare delle Regioni italiane (-2,1 punti), con il</w:t>
      </w:r>
      <w:r>
        <w:rPr>
          <w:color w:val="404040"/>
          <w:spacing w:val="-47"/>
        </w:rPr>
        <w:t> </w:t>
      </w:r>
      <w:r>
        <w:rPr>
          <w:color w:val="404040"/>
        </w:rPr>
        <w:t>divario</w:t>
      </w:r>
      <w:r>
        <w:rPr>
          <w:color w:val="404040"/>
          <w:spacing w:val="1"/>
        </w:rPr>
        <w:t> </w:t>
      </w:r>
      <w:r>
        <w:rPr>
          <w:color w:val="404040"/>
        </w:rPr>
        <w:t>tra</w:t>
      </w:r>
      <w:r>
        <w:rPr>
          <w:color w:val="404040"/>
          <w:spacing w:val="1"/>
        </w:rPr>
        <w:t> </w:t>
      </w:r>
      <w:r>
        <w:rPr>
          <w:color w:val="404040"/>
        </w:rPr>
        <w:t>Regione</w:t>
      </w:r>
      <w:r>
        <w:rPr>
          <w:color w:val="404040"/>
          <w:spacing w:val="1"/>
        </w:rPr>
        <w:t> </w:t>
      </w:r>
      <w:r>
        <w:rPr>
          <w:color w:val="404040"/>
        </w:rPr>
        <w:t>best</w:t>
      </w:r>
      <w:r>
        <w:rPr>
          <w:color w:val="404040"/>
          <w:spacing w:val="1"/>
        </w:rPr>
        <w:t> </w:t>
      </w:r>
      <w:r>
        <w:rPr>
          <w:color w:val="404040"/>
        </w:rPr>
        <w:t>e</w:t>
      </w:r>
      <w:r>
        <w:rPr>
          <w:color w:val="404040"/>
          <w:spacing w:val="1"/>
        </w:rPr>
        <w:t> </w:t>
      </w:r>
      <w:r>
        <w:rPr>
          <w:color w:val="404040"/>
        </w:rPr>
        <w:t>worst</w:t>
      </w:r>
      <w:r>
        <w:rPr>
          <w:color w:val="404040"/>
          <w:spacing w:val="1"/>
        </w:rPr>
        <w:t> </w:t>
      </w:r>
      <w:r>
        <w:rPr>
          <w:color w:val="404040"/>
        </w:rPr>
        <w:t>passato</w:t>
      </w:r>
      <w:r>
        <w:rPr>
          <w:color w:val="404040"/>
          <w:spacing w:val="1"/>
        </w:rPr>
        <w:t> </w:t>
      </w:r>
      <w:r>
        <w:rPr>
          <w:color w:val="404040"/>
        </w:rPr>
        <w:t>da</w:t>
      </w:r>
      <w:r>
        <w:rPr>
          <w:color w:val="404040"/>
          <w:spacing w:val="1"/>
        </w:rPr>
        <w:t> </w:t>
      </w:r>
      <w:r>
        <w:rPr>
          <w:color w:val="404040"/>
        </w:rPr>
        <w:t>32,7</w:t>
      </w:r>
      <w:r>
        <w:rPr>
          <w:color w:val="404040"/>
          <w:spacing w:val="1"/>
        </w:rPr>
        <w:t> </w:t>
      </w:r>
      <w:r>
        <w:rPr>
          <w:color w:val="404040"/>
        </w:rPr>
        <w:t>punti</w:t>
      </w:r>
      <w:r>
        <w:rPr>
          <w:color w:val="404040"/>
          <w:spacing w:val="1"/>
        </w:rPr>
        <w:t> </w:t>
      </w:r>
      <w:r>
        <w:rPr>
          <w:color w:val="404040"/>
        </w:rPr>
        <w:t>a</w:t>
      </w:r>
      <w:r>
        <w:rPr>
          <w:color w:val="404040"/>
          <w:spacing w:val="1"/>
        </w:rPr>
        <w:t> </w:t>
      </w:r>
      <w:r>
        <w:rPr>
          <w:color w:val="404040"/>
        </w:rPr>
        <w:t>30,6</w:t>
      </w:r>
      <w:r>
        <w:rPr>
          <w:color w:val="404040"/>
          <w:spacing w:val="1"/>
        </w:rPr>
        <w:t> </w:t>
      </w:r>
      <w:r>
        <w:rPr>
          <w:color w:val="404040"/>
        </w:rPr>
        <w:t>punti</w:t>
      </w:r>
      <w:r>
        <w:rPr>
          <w:color w:val="404040"/>
          <w:spacing w:val="1"/>
        </w:rPr>
        <w:t> </w:t>
      </w:r>
      <w:r>
        <w:rPr>
          <w:color w:val="404040"/>
        </w:rPr>
        <w:t>(principalmente</w:t>
      </w:r>
      <w:r>
        <w:rPr>
          <w:color w:val="404040"/>
          <w:spacing w:val="1"/>
        </w:rPr>
        <w:t> </w:t>
      </w:r>
      <w:r>
        <w:rPr>
          <w:color w:val="404040"/>
        </w:rPr>
        <w:t>per</w:t>
      </w:r>
      <w:r>
        <w:rPr>
          <w:color w:val="404040"/>
          <w:spacing w:val="1"/>
        </w:rPr>
        <w:t> </w:t>
      </w:r>
      <w:r>
        <w:rPr>
          <w:color w:val="404040"/>
        </w:rPr>
        <w:t>una</w:t>
      </w:r>
      <w:r>
        <w:rPr>
          <w:color w:val="404040"/>
          <w:spacing w:val="1"/>
        </w:rPr>
        <w:t> </w:t>
      </w:r>
      <w:r>
        <w:rPr>
          <w:color w:val="404040"/>
        </w:rPr>
        <w:t>diminuzione del</w:t>
      </w:r>
      <w:r>
        <w:rPr>
          <w:color w:val="404040"/>
          <w:spacing w:val="-3"/>
        </w:rPr>
        <w:t> </w:t>
      </w:r>
      <w:r>
        <w:rPr>
          <w:color w:val="404040"/>
        </w:rPr>
        <w:t>punteggio</w:t>
      </w:r>
      <w:r>
        <w:rPr>
          <w:color w:val="404040"/>
          <w:spacing w:val="-1"/>
        </w:rPr>
        <w:t> </w:t>
      </w:r>
      <w:r>
        <w:rPr>
          <w:color w:val="404040"/>
        </w:rPr>
        <w:t>della P.A. di Trento).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8"/>
        <w:jc w:val="both"/>
      </w:pPr>
      <w:r>
        <w:rPr>
          <w:color w:val="404040"/>
        </w:rPr>
        <w:t>La</w:t>
      </w:r>
      <w:r>
        <w:rPr>
          <w:color w:val="404040"/>
          <w:spacing w:val="-3"/>
        </w:rPr>
        <w:t> </w:t>
      </w:r>
      <w:r>
        <w:rPr>
          <w:color w:val="404040"/>
        </w:rPr>
        <w:t>classifica</w:t>
      </w:r>
      <w:r>
        <w:rPr>
          <w:color w:val="404040"/>
          <w:spacing w:val="-2"/>
        </w:rPr>
        <w:t> </w:t>
      </w:r>
      <w:r>
        <w:rPr>
          <w:color w:val="404040"/>
        </w:rPr>
        <w:t>completa</w:t>
      </w:r>
      <w:r>
        <w:rPr>
          <w:color w:val="404040"/>
          <w:spacing w:val="-2"/>
        </w:rPr>
        <w:t> </w:t>
      </w:r>
      <w:r>
        <w:rPr>
          <w:color w:val="404040"/>
        </w:rPr>
        <w:t>del</w:t>
      </w:r>
      <w:r>
        <w:rPr>
          <w:color w:val="404040"/>
          <w:spacing w:val="-5"/>
        </w:rPr>
        <w:t> </w:t>
      </w:r>
      <w:r>
        <w:rPr>
          <w:color w:val="404040"/>
        </w:rPr>
        <w:t>Welfare</w:t>
      </w:r>
      <w:r>
        <w:rPr>
          <w:color w:val="404040"/>
          <w:spacing w:val="-4"/>
        </w:rPr>
        <w:t> </w:t>
      </w:r>
      <w:r>
        <w:rPr>
          <w:color w:val="404040"/>
        </w:rPr>
        <w:t>Italia</w:t>
      </w:r>
      <w:r>
        <w:rPr>
          <w:color w:val="404040"/>
          <w:spacing w:val="-2"/>
        </w:rPr>
        <w:t> </w:t>
      </w:r>
      <w:r>
        <w:rPr>
          <w:color w:val="404040"/>
        </w:rPr>
        <w:t>Index</w:t>
      </w:r>
      <w:r>
        <w:rPr>
          <w:color w:val="404040"/>
          <w:spacing w:val="-2"/>
        </w:rPr>
        <w:t> </w:t>
      </w:r>
      <w:r>
        <w:rPr>
          <w:color w:val="404040"/>
        </w:rPr>
        <w:t>2022:</w:t>
      </w:r>
    </w:p>
    <w:p>
      <w:pPr>
        <w:pStyle w:val="BodyText"/>
        <w:spacing w:before="1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901191</wp:posOffset>
            </wp:positionH>
            <wp:positionV relativeFrom="paragraph">
              <wp:posOffset>172779</wp:posOffset>
            </wp:positionV>
            <wp:extent cx="5771678" cy="4046220"/>
            <wp:effectExtent l="0" t="0" r="0" b="0"/>
            <wp:wrapTopAndBottom/>
            <wp:docPr id="9" name="image5.jpeg" descr="P116#yIS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678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8"/>
        </w:rPr>
      </w:pPr>
    </w:p>
    <w:p>
      <w:pPr>
        <w:spacing w:line="276" w:lineRule="auto" w:before="0"/>
        <w:ind w:left="118" w:right="112" w:hanging="1"/>
        <w:jc w:val="both"/>
        <w:rPr>
          <w:i/>
          <w:sz w:val="22"/>
        </w:rPr>
      </w:pPr>
      <w:r>
        <w:rPr>
          <w:color w:val="404040"/>
          <w:sz w:val="22"/>
        </w:rPr>
        <w:t>Il Forum è stato aperto dal messaggio del </w:t>
      </w:r>
      <w:r>
        <w:rPr>
          <w:b/>
          <w:color w:val="404040"/>
          <w:sz w:val="22"/>
        </w:rPr>
        <w:t>Presidente della Repubblica </w:t>
      </w:r>
      <w:r>
        <w:rPr>
          <w:color w:val="404040"/>
          <w:sz w:val="22"/>
        </w:rPr>
        <w:t>che ha evidenziato come “La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collaborazione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tra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pubblico,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privato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terzo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settore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è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una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chiave,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nella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conferma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del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carattere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universale dei diritti, per potenziare e ammodernare i servizi”.</w:t>
      </w:r>
      <w:r>
        <w:rPr>
          <w:color w:val="404040"/>
          <w:spacing w:val="1"/>
          <w:sz w:val="22"/>
        </w:rPr>
        <w:t> </w:t>
      </w:r>
      <w:r>
        <w:rPr>
          <w:color w:val="404040"/>
          <w:sz w:val="22"/>
        </w:rPr>
        <w:t>A seguire gli interventi di:</w:t>
      </w:r>
      <w:r>
        <w:rPr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Gian Carlo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Blangiardo </w:t>
      </w:r>
      <w:r>
        <w:rPr>
          <w:i/>
          <w:color w:val="404040"/>
          <w:sz w:val="22"/>
        </w:rPr>
        <w:t>(Presidente, Istat), </w:t>
      </w:r>
      <w:r>
        <w:rPr>
          <w:b/>
          <w:color w:val="404040"/>
          <w:sz w:val="22"/>
        </w:rPr>
        <w:t>Carlo Cimbri </w:t>
      </w:r>
      <w:r>
        <w:rPr>
          <w:i/>
          <w:color w:val="404040"/>
          <w:sz w:val="22"/>
        </w:rPr>
        <w:t>(Presidente, Unipol Gruppo), </w:t>
      </w:r>
      <w:r>
        <w:rPr>
          <w:b/>
          <w:color w:val="404040"/>
          <w:sz w:val="22"/>
        </w:rPr>
        <w:t>Valerio De Molli </w:t>
      </w:r>
      <w:r>
        <w:rPr>
          <w:i/>
          <w:color w:val="404040"/>
          <w:sz w:val="22"/>
        </w:rPr>
        <w:t>(Managing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Partner</w:t>
      </w:r>
      <w:r>
        <w:rPr>
          <w:i/>
          <w:color w:val="404040"/>
          <w:spacing w:val="13"/>
          <w:sz w:val="22"/>
        </w:rPr>
        <w:t> </w:t>
      </w:r>
      <w:r>
        <w:rPr>
          <w:i/>
          <w:color w:val="404040"/>
          <w:sz w:val="22"/>
        </w:rPr>
        <w:t>e</w:t>
      </w:r>
      <w:r>
        <w:rPr>
          <w:i/>
          <w:color w:val="404040"/>
          <w:spacing w:val="12"/>
          <w:sz w:val="22"/>
        </w:rPr>
        <w:t> </w:t>
      </w:r>
      <w:r>
        <w:rPr>
          <w:i/>
          <w:color w:val="404040"/>
          <w:sz w:val="22"/>
        </w:rPr>
        <w:t>CEO,</w:t>
      </w:r>
      <w:r>
        <w:rPr>
          <w:i/>
          <w:color w:val="404040"/>
          <w:spacing w:val="12"/>
          <w:sz w:val="22"/>
        </w:rPr>
        <w:t> </w:t>
      </w:r>
      <w:r>
        <w:rPr>
          <w:i/>
          <w:color w:val="404040"/>
          <w:sz w:val="22"/>
        </w:rPr>
        <w:t>The</w:t>
      </w:r>
      <w:r>
        <w:rPr>
          <w:i/>
          <w:color w:val="404040"/>
          <w:spacing w:val="12"/>
          <w:sz w:val="22"/>
        </w:rPr>
        <w:t> </w:t>
      </w:r>
      <w:r>
        <w:rPr>
          <w:i/>
          <w:color w:val="404040"/>
          <w:sz w:val="22"/>
        </w:rPr>
        <w:t>European</w:t>
      </w:r>
      <w:r>
        <w:rPr>
          <w:i/>
          <w:color w:val="404040"/>
          <w:spacing w:val="11"/>
          <w:sz w:val="22"/>
        </w:rPr>
        <w:t> </w:t>
      </w:r>
      <w:r>
        <w:rPr>
          <w:i/>
          <w:color w:val="404040"/>
          <w:sz w:val="22"/>
        </w:rPr>
        <w:t>House</w:t>
      </w:r>
      <w:r>
        <w:rPr>
          <w:i/>
          <w:color w:val="404040"/>
          <w:spacing w:val="12"/>
          <w:sz w:val="22"/>
        </w:rPr>
        <w:t> </w:t>
      </w:r>
      <w:r>
        <w:rPr>
          <w:i/>
          <w:color w:val="404040"/>
          <w:sz w:val="22"/>
        </w:rPr>
        <w:t>Ambrosetti),</w:t>
      </w:r>
      <w:r>
        <w:rPr>
          <w:i/>
          <w:color w:val="404040"/>
          <w:spacing w:val="9"/>
          <w:sz w:val="22"/>
        </w:rPr>
        <w:t> </w:t>
      </w:r>
      <w:r>
        <w:rPr>
          <w:b/>
          <w:color w:val="404040"/>
          <w:sz w:val="22"/>
        </w:rPr>
        <w:t>Veronica</w:t>
      </w:r>
      <w:r>
        <w:rPr>
          <w:b/>
          <w:color w:val="404040"/>
          <w:spacing w:val="11"/>
          <w:sz w:val="22"/>
        </w:rPr>
        <w:t> </w:t>
      </w:r>
      <w:r>
        <w:rPr>
          <w:b/>
          <w:color w:val="404040"/>
          <w:sz w:val="22"/>
        </w:rPr>
        <w:t>De</w:t>
      </w:r>
      <w:r>
        <w:rPr>
          <w:b/>
          <w:color w:val="404040"/>
          <w:spacing w:val="11"/>
          <w:sz w:val="22"/>
        </w:rPr>
        <w:t> </w:t>
      </w:r>
      <w:r>
        <w:rPr>
          <w:b/>
          <w:color w:val="404040"/>
          <w:sz w:val="22"/>
        </w:rPr>
        <w:t>Romanis</w:t>
      </w:r>
      <w:r>
        <w:rPr>
          <w:b/>
          <w:color w:val="404040"/>
          <w:spacing w:val="10"/>
          <w:sz w:val="22"/>
        </w:rPr>
        <w:t> </w:t>
      </w:r>
      <w:r>
        <w:rPr>
          <w:i/>
          <w:color w:val="404040"/>
          <w:sz w:val="22"/>
        </w:rPr>
        <w:t>(Professore</w:t>
      </w:r>
      <w:r>
        <w:rPr>
          <w:i/>
          <w:color w:val="404040"/>
          <w:spacing w:val="12"/>
          <w:sz w:val="22"/>
        </w:rPr>
        <w:t> </w:t>
      </w:r>
      <w:r>
        <w:rPr>
          <w:i/>
          <w:color w:val="404040"/>
          <w:sz w:val="22"/>
        </w:rPr>
        <w:t>di</w:t>
      </w:r>
      <w:r>
        <w:rPr>
          <w:i/>
          <w:color w:val="404040"/>
          <w:spacing w:val="11"/>
          <w:sz w:val="22"/>
        </w:rPr>
        <w:t> </w:t>
      </w:r>
      <w:r>
        <w:rPr>
          <w:i/>
          <w:color w:val="404040"/>
          <w:sz w:val="22"/>
        </w:rPr>
        <w:t>Politica</w:t>
      </w:r>
    </w:p>
    <w:p>
      <w:pPr>
        <w:spacing w:after="0" w:line="276" w:lineRule="auto"/>
        <w:jc w:val="both"/>
        <w:rPr>
          <w:sz w:val="22"/>
        </w:rPr>
        <w:sectPr>
          <w:pgSz w:w="11910" w:h="16840"/>
          <w:pgMar w:header="949" w:footer="0" w:top="1760" w:bottom="280" w:left="1300" w:right="130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16"/>
        </w:rPr>
      </w:pPr>
    </w:p>
    <w:p>
      <w:pPr>
        <w:spacing w:line="276" w:lineRule="auto" w:before="57"/>
        <w:ind w:left="118" w:right="112" w:firstLine="0"/>
        <w:jc w:val="both"/>
        <w:rPr>
          <w:i/>
          <w:sz w:val="22"/>
        </w:rPr>
      </w:pPr>
      <w:r>
        <w:rPr>
          <w:i/>
          <w:color w:val="404040"/>
          <w:sz w:val="22"/>
        </w:rPr>
        <w:t>Economica Europea, Stanford University, Firenze e LUISS Guido Carli, Roma; membro del Comitato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Scientifico del Think Tank “Welfare, Italia”), </w:t>
      </w:r>
      <w:r>
        <w:rPr>
          <w:b/>
          <w:color w:val="404040"/>
          <w:sz w:val="22"/>
        </w:rPr>
        <w:t>Mario Giro</w:t>
      </w:r>
      <w:r>
        <w:rPr>
          <w:b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(Comunità di S. Egidio), </w:t>
      </w:r>
      <w:r>
        <w:rPr>
          <w:b/>
          <w:color w:val="404040"/>
          <w:sz w:val="22"/>
        </w:rPr>
        <w:t>Giuseppe Guzzetti</w:t>
      </w:r>
      <w:r>
        <w:rPr>
          <w:b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(già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Presidente,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Fondazione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Cariplo;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membro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del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Comitato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Scientifico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del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Think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Tank</w:t>
      </w:r>
      <w:r>
        <w:rPr>
          <w:i/>
          <w:color w:val="404040"/>
          <w:spacing w:val="49"/>
          <w:sz w:val="22"/>
        </w:rPr>
        <w:t> </w:t>
      </w:r>
      <w:r>
        <w:rPr>
          <w:i/>
          <w:color w:val="404040"/>
          <w:sz w:val="22"/>
        </w:rPr>
        <w:t>“Welfare,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Italia”),</w:t>
      </w:r>
      <w:r>
        <w:rPr>
          <w:i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Luciano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Malfer</w:t>
      </w:r>
      <w:r>
        <w:rPr>
          <w:b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(Direttore,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Agenzia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Trentino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Famiglia),</w:t>
      </w:r>
      <w:r>
        <w:rPr>
          <w:i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Ruth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Paserman</w:t>
      </w:r>
      <w:r>
        <w:rPr>
          <w:b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(Director,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Funds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programming and implementation, European DG Employment, Social Affairs and Inclusion), </w:t>
      </w:r>
      <w:r>
        <w:rPr>
          <w:b/>
          <w:color w:val="404040"/>
          <w:sz w:val="22"/>
        </w:rPr>
        <w:t>Antonio</w:t>
      </w:r>
      <w:r>
        <w:rPr>
          <w:b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Polito </w:t>
      </w:r>
      <w:r>
        <w:rPr>
          <w:i/>
          <w:color w:val="404040"/>
          <w:sz w:val="22"/>
        </w:rPr>
        <w:t>(Editorialista e Vice Direttore, Corriere della Sera), </w:t>
      </w:r>
      <w:r>
        <w:rPr>
          <w:b/>
          <w:color w:val="404040"/>
          <w:sz w:val="22"/>
        </w:rPr>
        <w:t>Walter Ricciardi </w:t>
      </w:r>
      <w:r>
        <w:rPr>
          <w:i/>
          <w:color w:val="404040"/>
          <w:sz w:val="22"/>
        </w:rPr>
        <w:t>(Presidente Mission Board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for Cancer della Commissione Europea; membro del comitato scientifico del Think Tank “Welfare,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Italia”), </w:t>
      </w:r>
      <w:r>
        <w:rPr>
          <w:b/>
          <w:color w:val="404040"/>
          <w:sz w:val="22"/>
        </w:rPr>
        <w:t>Eugenia Roccella </w:t>
      </w:r>
      <w:r>
        <w:rPr>
          <w:i/>
          <w:color w:val="404040"/>
          <w:sz w:val="22"/>
        </w:rPr>
        <w:t>(Ministro per la Famiglia, la Natalità e le Pari Opportunità), </w:t>
      </w:r>
      <w:r>
        <w:rPr>
          <w:b/>
          <w:color w:val="404040"/>
          <w:sz w:val="22"/>
        </w:rPr>
        <w:t>Antonio Tajani</w:t>
      </w:r>
      <w:r>
        <w:rPr>
          <w:b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(VicePresidente del Consiglio e Ministro degli Esteri),</w:t>
      </w:r>
      <w:r>
        <w:rPr>
          <w:i/>
          <w:color w:val="404040"/>
          <w:spacing w:val="1"/>
          <w:sz w:val="22"/>
        </w:rPr>
        <w:t> </w:t>
      </w:r>
      <w:r>
        <w:rPr>
          <w:b/>
          <w:color w:val="404040"/>
          <w:sz w:val="22"/>
        </w:rPr>
        <w:t>Magda Tomasini </w:t>
      </w:r>
      <w:r>
        <w:rPr>
          <w:i/>
          <w:color w:val="404040"/>
          <w:sz w:val="22"/>
        </w:rPr>
        <w:t>(Direttrice, Institut national</w:t>
      </w:r>
      <w:r>
        <w:rPr>
          <w:i/>
          <w:color w:val="404040"/>
          <w:spacing w:val="1"/>
          <w:sz w:val="22"/>
        </w:rPr>
        <w:t> </w:t>
      </w:r>
      <w:r>
        <w:rPr>
          <w:i/>
          <w:color w:val="404040"/>
          <w:sz w:val="22"/>
        </w:rPr>
        <w:t>d'études demographiques),</w:t>
      </w:r>
      <w:r>
        <w:rPr>
          <w:i/>
          <w:color w:val="404040"/>
          <w:spacing w:val="-3"/>
          <w:sz w:val="22"/>
        </w:rPr>
        <w:t> </w:t>
      </w:r>
      <w:r>
        <w:rPr>
          <w:b/>
          <w:color w:val="404040"/>
          <w:sz w:val="22"/>
        </w:rPr>
        <w:t>Giuseppe</w:t>
      </w:r>
      <w:r>
        <w:rPr>
          <w:b/>
          <w:color w:val="404040"/>
          <w:spacing w:val="-1"/>
          <w:sz w:val="22"/>
        </w:rPr>
        <w:t> </w:t>
      </w:r>
      <w:r>
        <w:rPr>
          <w:b/>
          <w:color w:val="404040"/>
          <w:sz w:val="22"/>
        </w:rPr>
        <w:t>Valditara</w:t>
      </w:r>
      <w:r>
        <w:rPr>
          <w:b/>
          <w:color w:val="404040"/>
          <w:spacing w:val="-1"/>
          <w:sz w:val="22"/>
        </w:rPr>
        <w:t> </w:t>
      </w:r>
      <w:r>
        <w:rPr>
          <w:i/>
          <w:color w:val="404040"/>
          <w:sz w:val="22"/>
        </w:rPr>
        <w:t>(Ministro</w:t>
      </w:r>
      <w:r>
        <w:rPr>
          <w:i/>
          <w:color w:val="404040"/>
          <w:spacing w:val="-1"/>
          <w:sz w:val="22"/>
        </w:rPr>
        <w:t> </w:t>
      </w:r>
      <w:r>
        <w:rPr>
          <w:i/>
          <w:color w:val="404040"/>
          <w:sz w:val="22"/>
        </w:rPr>
        <w:t>dell’Istruzione</w:t>
      </w:r>
      <w:r>
        <w:rPr>
          <w:i/>
          <w:color w:val="404040"/>
          <w:spacing w:val="-1"/>
          <w:sz w:val="22"/>
        </w:rPr>
        <w:t> </w:t>
      </w:r>
      <w:r>
        <w:rPr>
          <w:i/>
          <w:color w:val="404040"/>
          <w:sz w:val="22"/>
        </w:rPr>
        <w:t>e</w:t>
      </w:r>
      <w:r>
        <w:rPr>
          <w:i/>
          <w:color w:val="404040"/>
          <w:spacing w:val="-2"/>
          <w:sz w:val="22"/>
        </w:rPr>
        <w:t> </w:t>
      </w:r>
      <w:r>
        <w:rPr>
          <w:i/>
          <w:color w:val="404040"/>
          <w:sz w:val="22"/>
        </w:rPr>
        <w:t>del</w:t>
      </w:r>
      <w:r>
        <w:rPr>
          <w:i/>
          <w:color w:val="404040"/>
          <w:spacing w:val="-4"/>
          <w:sz w:val="22"/>
        </w:rPr>
        <w:t> </w:t>
      </w:r>
      <w:r>
        <w:rPr>
          <w:i/>
          <w:color w:val="404040"/>
          <w:sz w:val="22"/>
        </w:rPr>
        <w:t>Merito)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16"/>
        </w:rPr>
      </w:pPr>
    </w:p>
    <w:p>
      <w:pPr>
        <w:spacing w:before="0"/>
        <w:ind w:left="118" w:right="0" w:firstLine="0"/>
        <w:jc w:val="left"/>
        <w:rPr>
          <w:sz w:val="20"/>
        </w:rPr>
      </w:pPr>
      <w:r>
        <w:rPr>
          <w:color w:val="404040"/>
          <w:sz w:val="20"/>
          <w:u w:val="single" w:color="404040"/>
        </w:rPr>
        <w:t>Per</w:t>
      </w:r>
      <w:r>
        <w:rPr>
          <w:color w:val="404040"/>
          <w:spacing w:val="-4"/>
          <w:sz w:val="20"/>
          <w:u w:val="single" w:color="404040"/>
        </w:rPr>
        <w:t> </w:t>
      </w:r>
      <w:r>
        <w:rPr>
          <w:color w:val="404040"/>
          <w:sz w:val="20"/>
          <w:u w:val="single" w:color="404040"/>
        </w:rPr>
        <w:t>maggiori</w:t>
      </w:r>
      <w:r>
        <w:rPr>
          <w:color w:val="404040"/>
          <w:spacing w:val="-4"/>
          <w:sz w:val="20"/>
          <w:u w:val="single" w:color="404040"/>
        </w:rPr>
        <w:t> </w:t>
      </w:r>
      <w:r>
        <w:rPr>
          <w:color w:val="404040"/>
          <w:sz w:val="20"/>
          <w:u w:val="single" w:color="404040"/>
        </w:rPr>
        <w:t>informazioni:</w:t>
      </w:r>
    </w:p>
    <w:p>
      <w:pPr>
        <w:spacing w:line="243" w:lineRule="exact" w:before="1"/>
        <w:ind w:left="118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Ufficio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stampa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Unipol</w:t>
      </w:r>
      <w:r>
        <w:rPr>
          <w:b/>
          <w:color w:val="404040"/>
          <w:spacing w:val="-3"/>
          <w:sz w:val="20"/>
        </w:rPr>
        <w:t> </w:t>
      </w:r>
      <w:r>
        <w:rPr>
          <w:b/>
          <w:color w:val="404040"/>
          <w:sz w:val="20"/>
        </w:rPr>
        <w:t>Gruppo</w:t>
      </w:r>
    </w:p>
    <w:p>
      <w:pPr>
        <w:spacing w:line="243" w:lineRule="exact" w:before="0"/>
        <w:ind w:left="118" w:right="0" w:firstLine="0"/>
        <w:jc w:val="left"/>
        <w:rPr>
          <w:sz w:val="20"/>
        </w:rPr>
      </w:pPr>
      <w:r>
        <w:rPr>
          <w:color w:val="404040"/>
          <w:sz w:val="20"/>
        </w:rPr>
        <w:t>Fernando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Vacarini</w:t>
      </w:r>
      <w:r>
        <w:rPr>
          <w:color w:val="404040"/>
          <w:spacing w:val="-4"/>
          <w:sz w:val="20"/>
        </w:rPr>
        <w:t> </w:t>
      </w:r>
      <w:r>
        <w:rPr>
          <w:b/>
          <w:color w:val="404040"/>
          <w:sz w:val="20"/>
        </w:rPr>
        <w:t>-</w:t>
      </w:r>
      <w:r>
        <w:rPr>
          <w:b/>
          <w:color w:val="404040"/>
          <w:spacing w:val="-4"/>
          <w:sz w:val="20"/>
        </w:rPr>
        <w:t> </w:t>
      </w:r>
      <w:r>
        <w:rPr>
          <w:color w:val="404040"/>
          <w:sz w:val="20"/>
        </w:rPr>
        <w:t>Tel: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+39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051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5077705</w:t>
      </w:r>
      <w:r>
        <w:rPr>
          <w:color w:val="404040"/>
          <w:spacing w:val="-3"/>
          <w:sz w:val="20"/>
        </w:rPr>
        <w:t> </w:t>
      </w:r>
      <w:r>
        <w:rPr>
          <w:b/>
          <w:color w:val="404040"/>
          <w:sz w:val="20"/>
        </w:rPr>
        <w:t>-</w:t>
      </w:r>
      <w:r>
        <w:rPr>
          <w:b/>
          <w:color w:val="404040"/>
          <w:spacing w:val="-4"/>
          <w:sz w:val="20"/>
        </w:rPr>
        <w:t> </w:t>
      </w:r>
      <w:r>
        <w:rPr>
          <w:color w:val="404040"/>
          <w:sz w:val="20"/>
        </w:rPr>
        <w:t>Email:</w:t>
      </w:r>
      <w:r>
        <w:rPr>
          <w:color w:val="404040"/>
          <w:spacing w:val="-5"/>
          <w:sz w:val="20"/>
        </w:rPr>
        <w:t> </w:t>
      </w:r>
      <w:hyperlink r:id="rId8">
        <w:r>
          <w:rPr>
            <w:color w:val="0000FF"/>
            <w:sz w:val="20"/>
            <w:u w:val="single" w:color="0000FF"/>
          </w:rPr>
          <w:t>pressoffice@unipol.it</w:t>
        </w:r>
      </w:hyperlink>
    </w:p>
    <w:p>
      <w:pPr>
        <w:pStyle w:val="BodyText"/>
        <w:spacing w:before="3"/>
        <w:rPr>
          <w:sz w:val="15"/>
        </w:rPr>
      </w:pPr>
    </w:p>
    <w:p>
      <w:pPr>
        <w:spacing w:line="243" w:lineRule="exact" w:before="59"/>
        <w:ind w:left="118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Barabino&amp;Partners</w:t>
      </w:r>
    </w:p>
    <w:p>
      <w:pPr>
        <w:spacing w:before="0"/>
        <w:ind w:left="118" w:right="3238" w:firstLine="0"/>
        <w:jc w:val="left"/>
        <w:rPr>
          <w:sz w:val="20"/>
        </w:rPr>
      </w:pPr>
      <w:r>
        <w:rPr>
          <w:color w:val="404040"/>
          <w:sz w:val="20"/>
        </w:rPr>
        <w:t>Massimiliano Parboni - Tel: 335 8304078 - </w:t>
      </w:r>
      <w:hyperlink r:id="rId9">
        <w:r>
          <w:rPr>
            <w:color w:val="0000FF"/>
            <w:sz w:val="20"/>
            <w:u w:val="single" w:color="0000FF"/>
          </w:rPr>
          <w:t>m.parboni@barabino.it</w:t>
        </w:r>
      </w:hyperlink>
      <w:r>
        <w:rPr>
          <w:color w:val="0000FF"/>
          <w:spacing w:val="1"/>
          <w:sz w:val="20"/>
        </w:rPr>
        <w:t> </w:t>
      </w:r>
      <w:r>
        <w:rPr>
          <w:color w:val="404040"/>
          <w:sz w:val="20"/>
        </w:rPr>
        <w:t>Giovanni</w:t>
      </w:r>
      <w:r>
        <w:rPr>
          <w:color w:val="404040"/>
          <w:spacing w:val="3"/>
          <w:sz w:val="20"/>
        </w:rPr>
        <w:t> </w:t>
      </w:r>
      <w:r>
        <w:rPr>
          <w:color w:val="404040"/>
          <w:sz w:val="20"/>
        </w:rPr>
        <w:t>Vantaggi</w:t>
      </w:r>
      <w:r>
        <w:rPr>
          <w:color w:val="404040"/>
          <w:spacing w:val="5"/>
          <w:sz w:val="20"/>
        </w:rPr>
        <w:t> </w:t>
      </w:r>
      <w:r>
        <w:rPr>
          <w:color w:val="404040"/>
          <w:sz w:val="20"/>
        </w:rPr>
        <w:t>–</w:t>
      </w:r>
      <w:r>
        <w:rPr>
          <w:color w:val="404040"/>
          <w:spacing w:val="2"/>
          <w:sz w:val="20"/>
        </w:rPr>
        <w:t> </w:t>
      </w:r>
      <w:r>
        <w:rPr>
          <w:color w:val="404040"/>
          <w:sz w:val="20"/>
        </w:rPr>
        <w:t>Tel.:</w:t>
      </w:r>
      <w:r>
        <w:rPr>
          <w:color w:val="404040"/>
          <w:spacing w:val="3"/>
          <w:sz w:val="20"/>
        </w:rPr>
        <w:t> </w:t>
      </w:r>
      <w:r>
        <w:rPr>
          <w:color w:val="404040"/>
          <w:sz w:val="20"/>
        </w:rPr>
        <w:t>328</w:t>
      </w:r>
      <w:r>
        <w:rPr>
          <w:color w:val="404040"/>
          <w:spacing w:val="5"/>
          <w:sz w:val="20"/>
        </w:rPr>
        <w:t> </w:t>
      </w:r>
      <w:r>
        <w:rPr>
          <w:color w:val="404040"/>
          <w:sz w:val="20"/>
        </w:rPr>
        <w:t>8317379</w:t>
      </w:r>
      <w:r>
        <w:rPr>
          <w:color w:val="404040"/>
          <w:spacing w:val="3"/>
          <w:sz w:val="20"/>
        </w:rPr>
        <w:t> </w:t>
      </w:r>
      <w:r>
        <w:rPr>
          <w:color w:val="404040"/>
          <w:sz w:val="20"/>
        </w:rPr>
        <w:t>–</w:t>
      </w:r>
      <w:r>
        <w:rPr>
          <w:color w:val="404040"/>
          <w:spacing w:val="3"/>
          <w:sz w:val="20"/>
        </w:rPr>
        <w:t> </w:t>
      </w:r>
      <w:hyperlink r:id="rId10">
        <w:r>
          <w:rPr>
            <w:color w:val="0000FF"/>
            <w:sz w:val="20"/>
            <w:u w:val="single" w:color="0000FF"/>
          </w:rPr>
          <w:t>g.vantaggi@barabino.it</w:t>
        </w:r>
      </w:hyperlink>
      <w:r>
        <w:rPr>
          <w:color w:val="0000FF"/>
          <w:spacing w:val="1"/>
          <w:sz w:val="20"/>
        </w:rPr>
        <w:t> </w:t>
      </w:r>
      <w:r>
        <w:rPr>
          <w:color w:val="404040"/>
          <w:sz w:val="20"/>
        </w:rPr>
        <w:t>Giovanni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Scognamiglio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–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Tel.: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340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3161942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–</w:t>
      </w:r>
      <w:r>
        <w:rPr>
          <w:color w:val="404040"/>
          <w:spacing w:val="-6"/>
          <w:sz w:val="20"/>
        </w:rPr>
        <w:t> </w:t>
      </w:r>
      <w:hyperlink r:id="rId11">
        <w:r>
          <w:rPr>
            <w:color w:val="0000FF"/>
            <w:sz w:val="20"/>
            <w:u w:val="single" w:color="0000FF"/>
          </w:rPr>
          <w:t>g.scognamiglio@barabino.it</w:t>
        </w:r>
      </w:hyperlink>
    </w:p>
    <w:p>
      <w:pPr>
        <w:pStyle w:val="BodyText"/>
        <w:spacing w:before="2"/>
        <w:rPr>
          <w:sz w:val="15"/>
        </w:rPr>
      </w:pPr>
    </w:p>
    <w:p>
      <w:pPr>
        <w:spacing w:before="59"/>
        <w:ind w:left="118" w:right="0" w:firstLine="0"/>
        <w:jc w:val="left"/>
        <w:rPr>
          <w:b/>
          <w:sz w:val="20"/>
        </w:rPr>
      </w:pPr>
      <w:r>
        <w:rPr>
          <w:b/>
          <w:color w:val="404040"/>
          <w:sz w:val="20"/>
        </w:rPr>
        <w:t>Ufficio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stampa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The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European</w:t>
      </w:r>
      <w:r>
        <w:rPr>
          <w:b/>
          <w:color w:val="404040"/>
          <w:spacing w:val="-4"/>
          <w:sz w:val="20"/>
        </w:rPr>
        <w:t> </w:t>
      </w:r>
      <w:r>
        <w:rPr>
          <w:b/>
          <w:color w:val="404040"/>
          <w:sz w:val="20"/>
        </w:rPr>
        <w:t>House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–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Ambrosetti</w:t>
      </w:r>
    </w:p>
    <w:p>
      <w:pPr>
        <w:spacing w:before="0"/>
        <w:ind w:left="118" w:right="0" w:firstLine="0"/>
        <w:jc w:val="left"/>
        <w:rPr>
          <w:sz w:val="20"/>
        </w:rPr>
      </w:pPr>
      <w:r>
        <w:rPr>
          <w:color w:val="404040"/>
          <w:sz w:val="20"/>
        </w:rPr>
        <w:t>Fabiola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Gnocchi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-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Tel.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+39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349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7510840</w:t>
      </w:r>
      <w:r>
        <w:rPr>
          <w:color w:val="404040"/>
          <w:spacing w:val="10"/>
          <w:sz w:val="20"/>
        </w:rPr>
        <w:t> </w:t>
      </w:r>
      <w:r>
        <w:rPr>
          <w:color w:val="404040"/>
          <w:sz w:val="20"/>
        </w:rPr>
        <w:t>-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Email:</w:t>
      </w:r>
      <w:r>
        <w:rPr>
          <w:color w:val="404040"/>
          <w:spacing w:val="-2"/>
          <w:sz w:val="20"/>
        </w:rPr>
        <w:t> </w:t>
      </w:r>
      <w:hyperlink r:id="rId12">
        <w:r>
          <w:rPr>
            <w:color w:val="0000FF"/>
            <w:sz w:val="20"/>
            <w:u w:val="single" w:color="0000FF"/>
          </w:rPr>
          <w:t>fabiola.gnocchi@ambrosetti.eu</w:t>
        </w:r>
      </w:hyperlink>
    </w:p>
    <w:p>
      <w:pPr>
        <w:pStyle w:val="BodyText"/>
        <w:spacing w:before="1"/>
        <w:rPr>
          <w:sz w:val="14"/>
        </w:rPr>
      </w:pPr>
    </w:p>
    <w:p>
      <w:pPr>
        <w:spacing w:line="219" w:lineRule="exact" w:before="64"/>
        <w:ind w:left="118" w:right="0" w:firstLine="0"/>
        <w:jc w:val="both"/>
        <w:rPr>
          <w:b/>
          <w:sz w:val="18"/>
        </w:rPr>
      </w:pPr>
      <w:r>
        <w:rPr>
          <w:b/>
          <w:color w:val="15365D"/>
          <w:sz w:val="18"/>
        </w:rPr>
        <w:t>Unipol</w:t>
      </w:r>
      <w:r>
        <w:rPr>
          <w:b/>
          <w:color w:val="15365D"/>
          <w:spacing w:val="-3"/>
          <w:sz w:val="18"/>
        </w:rPr>
        <w:t> </w:t>
      </w:r>
      <w:r>
        <w:rPr>
          <w:b/>
          <w:color w:val="15365D"/>
          <w:sz w:val="18"/>
        </w:rPr>
        <w:t>Gruppo</w:t>
      </w:r>
    </w:p>
    <w:p>
      <w:pPr>
        <w:spacing w:before="0"/>
        <w:ind w:left="118" w:right="115" w:firstLine="0"/>
        <w:jc w:val="both"/>
        <w:rPr>
          <w:sz w:val="16"/>
        </w:rPr>
      </w:pPr>
      <w:r>
        <w:rPr>
          <w:color w:val="1F487C"/>
          <w:sz w:val="16"/>
        </w:rPr>
        <w:t>Unipol è uno dei principali gruppi assicurativi in Europa e leader in Italia nel Ramo Danni (in particolare nei settori Auto e Salute), con una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raccolta complessiva pari a circa 13,3 miliardi di euro, di cui 7,9 miliardi nei Rami Danni e 5,4 miliardi nei Rami Vita (dati 2021). Unipol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adotta una strategia di offerta integrata e copre l'intera gamma dei prodotti assicurativi e finanziari, operando principalmente attraverso la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controllata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UnipolSai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Assicurazioni. Il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Gruppo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è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attivo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inoltre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nell’assicurazione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auto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diretta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(Linear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Assicurazioni),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nell’assicurazione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trasporti ed aviazione (Siat), nella tutela della salute (UniSalute), nella previdenza integrativa e presidia il canale della bancassicurazione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(Arca Vita, Arca Assicurazioni e Incontra). Gestisce inoltre significative attività diversificate nei settori immobiliare, alberghiero (Gruppo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UNA),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medico-sanitario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agricolo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(Tenute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del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Cerro).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Unipol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Gruppo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S.p.A. è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quotata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alla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Borsa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Italiana.</w:t>
      </w:r>
    </w:p>
    <w:p>
      <w:pPr>
        <w:pStyle w:val="BodyText"/>
        <w:spacing w:before="2"/>
        <w:rPr>
          <w:sz w:val="16"/>
        </w:rPr>
      </w:pPr>
    </w:p>
    <w:p>
      <w:pPr>
        <w:spacing w:line="219" w:lineRule="exact" w:before="0"/>
        <w:ind w:left="118" w:right="0" w:firstLine="0"/>
        <w:jc w:val="both"/>
        <w:rPr>
          <w:b/>
          <w:sz w:val="18"/>
        </w:rPr>
      </w:pPr>
      <w:r>
        <w:rPr>
          <w:b/>
          <w:color w:val="1F487C"/>
          <w:sz w:val="18"/>
        </w:rPr>
        <w:t>The</w:t>
      </w:r>
      <w:r>
        <w:rPr>
          <w:b/>
          <w:color w:val="1F487C"/>
          <w:spacing w:val="-3"/>
          <w:sz w:val="18"/>
        </w:rPr>
        <w:t> </w:t>
      </w:r>
      <w:r>
        <w:rPr>
          <w:b/>
          <w:color w:val="1F487C"/>
          <w:sz w:val="18"/>
        </w:rPr>
        <w:t>European</w:t>
      </w:r>
      <w:r>
        <w:rPr>
          <w:b/>
          <w:color w:val="1F487C"/>
          <w:spacing w:val="-2"/>
          <w:sz w:val="18"/>
        </w:rPr>
        <w:t> </w:t>
      </w:r>
      <w:r>
        <w:rPr>
          <w:b/>
          <w:color w:val="1F487C"/>
          <w:sz w:val="18"/>
        </w:rPr>
        <w:t>House</w:t>
      </w:r>
      <w:r>
        <w:rPr>
          <w:b/>
          <w:color w:val="1F487C"/>
          <w:spacing w:val="-2"/>
          <w:sz w:val="18"/>
        </w:rPr>
        <w:t> </w:t>
      </w:r>
      <w:r>
        <w:rPr>
          <w:b/>
          <w:color w:val="1F487C"/>
          <w:sz w:val="18"/>
        </w:rPr>
        <w:t>-</w:t>
      </w:r>
      <w:r>
        <w:rPr>
          <w:b/>
          <w:color w:val="1F487C"/>
          <w:spacing w:val="-3"/>
          <w:sz w:val="18"/>
        </w:rPr>
        <w:t> </w:t>
      </w:r>
      <w:r>
        <w:rPr>
          <w:b/>
          <w:color w:val="1F487C"/>
          <w:sz w:val="18"/>
        </w:rPr>
        <w:t>Ambrosetti</w:t>
      </w:r>
    </w:p>
    <w:p>
      <w:pPr>
        <w:spacing w:before="0"/>
        <w:ind w:left="118" w:right="117" w:firstLine="0"/>
        <w:jc w:val="both"/>
        <w:rPr>
          <w:sz w:val="16"/>
        </w:rPr>
      </w:pPr>
      <w:r>
        <w:rPr>
          <w:color w:val="1F487C"/>
          <w:sz w:val="16"/>
        </w:rPr>
        <w:t>The European House - Ambrosetti è un gruppo professionale di circa 280 professionisti attivo sin dal 1965 e cresciuto negli anni in modo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significativo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grazie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al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contributo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molti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Partner, con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numerose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attività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in Italia, in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Europa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nel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Mondo.</w:t>
      </w:r>
    </w:p>
    <w:p>
      <w:pPr>
        <w:spacing w:before="0"/>
        <w:ind w:left="118" w:right="116" w:firstLine="0"/>
        <w:jc w:val="both"/>
        <w:rPr>
          <w:sz w:val="16"/>
        </w:rPr>
      </w:pPr>
      <w:r>
        <w:rPr>
          <w:color w:val="1F487C"/>
          <w:sz w:val="16"/>
        </w:rPr>
        <w:t>Il Gruppo conta tre uffici in Italia e diversi uffici esteri, oltre ad altre partnership nel mondo. La sua forte competenza è la capacità di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supportare le aziende nella gestione integrata e sinergica delle quattro dinamiche critiche dei processi di generazione di valore: Vedere,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Progettare,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Realizzare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Valorizzare.</w:t>
      </w:r>
    </w:p>
    <w:p>
      <w:pPr>
        <w:spacing w:before="0"/>
        <w:ind w:left="118" w:right="114" w:firstLine="0"/>
        <w:jc w:val="both"/>
        <w:rPr>
          <w:sz w:val="16"/>
        </w:rPr>
      </w:pPr>
      <w:r>
        <w:rPr>
          <w:color w:val="1F487C"/>
          <w:sz w:val="16"/>
        </w:rPr>
        <w:t>Da più di 50 anni al fianco delle imprese italiane, ogni anno serviamo nella Consulenza circa 1.000 clienti realizzando più di 200 Studi 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Scenari strategici indirizzati a Istituzioni e aziende nazionali ed europee e circa 120 progetti per famiglie imprenditoriali. A questi numeri si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aggiungono circa 3.000 esperti nazionali ed internazionali che ogni anno vengono coinvolti nei 500 eventi realizzati per gli oltre 10.000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manager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accompagnati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nei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loro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percorsi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crescita.</w:t>
      </w:r>
    </w:p>
    <w:p>
      <w:pPr>
        <w:spacing w:before="0"/>
        <w:ind w:left="118" w:right="117" w:firstLine="0"/>
        <w:jc w:val="both"/>
        <w:rPr>
          <w:sz w:val="16"/>
        </w:rPr>
      </w:pPr>
      <w:r>
        <w:rPr>
          <w:color w:val="1F487C"/>
          <w:sz w:val="16"/>
        </w:rPr>
        <w:t>Il Gruppo beneficia di un patrimonio inestimabile di relazioni internazionali ad altissimo livello nei vari settori di attività, compresi 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responsabili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delle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principali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istituzioni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internazionali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e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dei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singoli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Paesi.</w:t>
      </w:r>
    </w:p>
    <w:p>
      <w:pPr>
        <w:spacing w:before="0"/>
        <w:ind w:left="118" w:right="113" w:firstLine="0"/>
        <w:jc w:val="both"/>
        <w:rPr>
          <w:sz w:val="16"/>
        </w:rPr>
      </w:pPr>
      <w:r>
        <w:rPr>
          <w:color w:val="1F487C"/>
          <w:sz w:val="16"/>
        </w:rPr>
        <w:t>The European House - Ambrosetti è stata nominata anche nel 2021, per l’ottavo anno consecutivo - nella categoria "Best Private Think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Tanks" - 1° Think Tank in Italia, 4° nell’Unione Europea e tra i più rispettati indipendenti al mondo su 11.175 a livello globale nell’ultima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edizione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del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“Global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Go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To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Think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Tanks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Report”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dell’Università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della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Pennsylvania.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The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European</w:t>
      </w:r>
      <w:r>
        <w:rPr>
          <w:color w:val="1F487C"/>
          <w:spacing w:val="7"/>
          <w:sz w:val="16"/>
        </w:rPr>
        <w:t> </w:t>
      </w:r>
      <w:r>
        <w:rPr>
          <w:color w:val="1F487C"/>
          <w:sz w:val="16"/>
        </w:rPr>
        <w:t>House</w:t>
      </w:r>
      <w:r>
        <w:rPr>
          <w:color w:val="1F487C"/>
          <w:spacing w:val="8"/>
          <w:sz w:val="16"/>
        </w:rPr>
        <w:t> </w:t>
      </w:r>
      <w:r>
        <w:rPr>
          <w:color w:val="1F487C"/>
          <w:sz w:val="16"/>
        </w:rPr>
        <w:t>–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Ambrosetti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è</w:t>
      </w:r>
      <w:r>
        <w:rPr>
          <w:color w:val="1F487C"/>
          <w:spacing w:val="6"/>
          <w:sz w:val="16"/>
        </w:rPr>
        <w:t> </w:t>
      </w:r>
      <w:r>
        <w:rPr>
          <w:color w:val="1F487C"/>
          <w:sz w:val="16"/>
        </w:rPr>
        <w:t>stata</w:t>
      </w:r>
      <w:r>
        <w:rPr>
          <w:color w:val="1F487C"/>
          <w:spacing w:val="9"/>
          <w:sz w:val="16"/>
        </w:rPr>
        <w:t> </w:t>
      </w:r>
      <w:r>
        <w:rPr>
          <w:color w:val="1F487C"/>
          <w:sz w:val="16"/>
        </w:rPr>
        <w:t>riconosciuta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Top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Employers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Institute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come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una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delle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112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realtà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Top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Employer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2021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in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Italia.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Per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maggiori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informazioni,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visita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il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sito</w:t>
      </w:r>
      <w:r>
        <w:rPr>
          <w:color w:val="1F487C"/>
          <w:spacing w:val="1"/>
          <w:sz w:val="16"/>
        </w:rPr>
        <w:t> </w:t>
      </w:r>
      <w:hyperlink r:id="rId13">
        <w:r>
          <w:rPr>
            <w:color w:val="0000FF"/>
            <w:sz w:val="16"/>
            <w:u w:val="single" w:color="0000FF"/>
          </w:rPr>
          <w:t>www.ambrosetti.eu</w:t>
        </w:r>
        <w:r>
          <w:rPr>
            <w:color w:val="0000FF"/>
            <w:spacing w:val="-2"/>
            <w:sz w:val="16"/>
          </w:rPr>
          <w:t> </w:t>
        </w:r>
      </w:hyperlink>
      <w:r>
        <w:rPr>
          <w:color w:val="1F487C"/>
          <w:sz w:val="16"/>
        </w:rPr>
        <w:t>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seguici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twitter.com/Ambrosetti.</w:t>
      </w:r>
    </w:p>
    <w:sectPr>
      <w:pgSz w:w="11910" w:h="16840"/>
      <w:pgMar w:header="949" w:footer="0" w:top="176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63424">
          <wp:simplePos x="0" y="0"/>
          <wp:positionH relativeFrom="page">
            <wp:posOffset>847089</wp:posOffset>
          </wp:positionH>
          <wp:positionV relativeFrom="page">
            <wp:posOffset>602627</wp:posOffset>
          </wp:positionV>
          <wp:extent cx="1243583" cy="51981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3583" cy="519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63936">
          <wp:simplePos x="0" y="0"/>
          <wp:positionH relativeFrom="page">
            <wp:posOffset>4832107</wp:posOffset>
          </wp:positionH>
          <wp:positionV relativeFrom="page">
            <wp:posOffset>691805</wp:posOffset>
          </wp:positionV>
          <wp:extent cx="1802135" cy="354356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02135" cy="3543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64448">
          <wp:simplePos x="0" y="0"/>
          <wp:positionH relativeFrom="page">
            <wp:posOffset>2794000</wp:posOffset>
          </wp:positionH>
          <wp:positionV relativeFrom="page">
            <wp:posOffset>698500</wp:posOffset>
          </wp:positionV>
          <wp:extent cx="1370620" cy="384597"/>
          <wp:effectExtent l="0" t="0" r="0" b="0"/>
          <wp:wrapNone/>
          <wp:docPr id="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70620" cy="3845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26" w:hanging="348"/>
        <w:jc w:val="left"/>
      </w:pPr>
      <w:rPr>
        <w:rFonts w:hint="default" w:ascii="Calibri" w:hAnsi="Calibri" w:eastAsia="Calibri" w:cs="Calibri"/>
        <w:b/>
        <w:bCs/>
        <w:color w:val="40404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68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17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14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63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11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60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837" w:hanging="348"/>
      </w:pPr>
      <w:rPr>
        <w:rFonts w:hint="default" w:ascii="Wingdings" w:hAnsi="Wingdings" w:eastAsia="Wingdings" w:cs="Wingdings"/>
        <w:color w:val="40404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86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9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26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73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19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66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13" w:hanging="348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546" w:hanging="428"/>
      </w:pPr>
      <w:rPr>
        <w:rFonts w:hint="default" w:ascii="Symbol" w:hAnsi="Symbol" w:eastAsia="Symbol" w:cs="Symbol"/>
        <w:color w:val="0F3150"/>
        <w:w w:val="99"/>
        <w:sz w:val="32"/>
        <w:szCs w:val="32"/>
        <w:lang w:val="it-IT" w:eastAsia="en-US" w:bidi="ar-SA"/>
      </w:rPr>
    </w:lvl>
    <w:lvl w:ilvl="1">
      <w:start w:val="0"/>
      <w:numFmt w:val="bullet"/>
      <w:lvlText w:val=""/>
      <w:lvlJc w:val="left"/>
      <w:pPr>
        <w:ind w:left="838" w:hanging="348"/>
      </w:pPr>
      <w:rPr>
        <w:rFonts w:hint="default" w:ascii="Wingdings" w:hAnsi="Wingdings" w:eastAsia="Wingdings" w:cs="Wingdings"/>
        <w:color w:val="16365D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80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21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662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602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543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484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424" w:hanging="348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7"/>
      <w:ind w:left="1107" w:right="385" w:hanging="2"/>
      <w:jc w:val="center"/>
    </w:pPr>
    <w:rPr>
      <w:rFonts w:ascii="Calibri" w:hAnsi="Calibri" w:eastAsia="Calibri" w:cs="Calibri"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38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hyperlink" Target="mailto:pressoffice@unipol.it" TargetMode="External"/><Relationship Id="rId9" Type="http://schemas.openxmlformats.org/officeDocument/2006/relationships/hyperlink" Target="mailto:m.parboni@barabino.it" TargetMode="External"/><Relationship Id="rId10" Type="http://schemas.openxmlformats.org/officeDocument/2006/relationships/hyperlink" Target="mailto:g.vantaggi@barabino.it" TargetMode="External"/><Relationship Id="rId11" Type="http://schemas.openxmlformats.org/officeDocument/2006/relationships/hyperlink" Target="mailto:g.scognamiglio@barabino.it" TargetMode="External"/><Relationship Id="rId12" Type="http://schemas.openxmlformats.org/officeDocument/2006/relationships/hyperlink" Target="mailto:fabiola.gnocchi@ambrosetti.eu" TargetMode="External"/><Relationship Id="rId13" Type="http://schemas.openxmlformats.org/officeDocument/2006/relationships/hyperlink" Target="http://www.ambrosetti.eu/" TargetMode="External"/><Relationship Id="rId1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UGFAssicurazioni</dc:creator>
  <dcterms:created xsi:type="dcterms:W3CDTF">2022-11-22T14:21:50Z</dcterms:created>
  <dcterms:modified xsi:type="dcterms:W3CDTF">2022-11-22T14:21:50Z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2022-11-22T00:00:00Z</vt:filetime>
  </property>
</Properties>
</file>